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8E" w:rsidRPr="00BD708E" w:rsidRDefault="00BD708E" w:rsidP="00BD708E">
      <w:pPr>
        <w:pStyle w:val="Titre3"/>
        <w:shd w:val="clear" w:color="auto" w:fill="FFFFFF"/>
        <w:spacing w:before="0"/>
        <w:textAlignment w:val="baseline"/>
        <w:rPr>
          <w:rFonts w:ascii="Helvetica" w:hAnsi="Helvetica" w:cs="Helvetica"/>
          <w:color w:val="181817"/>
          <w:lang w:val="en-GB"/>
        </w:rPr>
      </w:pPr>
      <w:bookmarkStart w:id="0" w:name="_GoBack"/>
      <w:r w:rsidRPr="00BD708E">
        <w:rPr>
          <w:rFonts w:ascii="Helvetica" w:hAnsi="Helvetica" w:cs="Helvetica"/>
          <w:b/>
          <w:bCs/>
          <w:i/>
          <w:iCs/>
          <w:color w:val="181817"/>
          <w:lang w:val="en-GB"/>
        </w:rPr>
        <w:t>A secular Age beyond the West</w:t>
      </w:r>
      <w:bookmarkEnd w:id="0"/>
      <w:r>
        <w:rPr>
          <w:rFonts w:ascii="Helvetica" w:hAnsi="Helvetica" w:cs="Helvetica"/>
          <w:b/>
          <w:bCs/>
          <w:color w:val="181817"/>
          <w:lang w:val="en-GB"/>
        </w:rPr>
        <w:t xml:space="preserve">, </w:t>
      </w:r>
      <w:proofErr w:type="spellStart"/>
      <w:r w:rsidRPr="00BD708E">
        <w:rPr>
          <w:rFonts w:ascii="Helvetica" w:hAnsi="Helvetica" w:cs="Helvetica"/>
          <w:color w:val="181817"/>
          <w:lang w:val="en-GB"/>
        </w:rPr>
        <w:t>Mirjam</w:t>
      </w:r>
      <w:proofErr w:type="spellEnd"/>
      <w:r w:rsidRPr="00BD708E">
        <w:rPr>
          <w:rFonts w:ascii="Helvetica" w:hAnsi="Helvetica" w:cs="Helvetica"/>
          <w:color w:val="181817"/>
          <w:lang w:val="en-GB"/>
        </w:rPr>
        <w:t xml:space="preserve"> </w:t>
      </w:r>
      <w:proofErr w:type="spellStart"/>
      <w:r w:rsidRPr="00BD708E">
        <w:rPr>
          <w:rFonts w:ascii="Helvetica" w:hAnsi="Helvetica" w:cs="Helvetica"/>
          <w:color w:val="181817"/>
          <w:lang w:val="en-GB"/>
        </w:rPr>
        <w:t>Künkler</w:t>
      </w:r>
      <w:proofErr w:type="spellEnd"/>
      <w:r w:rsidRPr="00BD708E">
        <w:rPr>
          <w:rFonts w:ascii="Helvetica" w:hAnsi="Helvetica" w:cs="Helvetica"/>
          <w:color w:val="181817"/>
          <w:lang w:val="en-GB"/>
        </w:rPr>
        <w:t xml:space="preserve">, John Madeley, </w:t>
      </w:r>
      <w:proofErr w:type="spellStart"/>
      <w:r w:rsidRPr="00BD708E">
        <w:rPr>
          <w:rFonts w:ascii="Helvetica" w:hAnsi="Helvetica" w:cs="Helvetica"/>
          <w:color w:val="181817"/>
          <w:lang w:val="en-GB"/>
        </w:rPr>
        <w:t>Shylashri</w:t>
      </w:r>
      <w:proofErr w:type="spellEnd"/>
      <w:r w:rsidRPr="00BD708E">
        <w:rPr>
          <w:rFonts w:ascii="Helvetica" w:hAnsi="Helvetica" w:cs="Helvetica"/>
          <w:color w:val="181817"/>
          <w:lang w:val="en-GB"/>
        </w:rPr>
        <w:t xml:space="preserve"> Shankar, eds.</w:t>
      </w:r>
    </w:p>
    <w:p w:rsidR="00BD708E" w:rsidRPr="00BD708E" w:rsidRDefault="00BD708E" w:rsidP="00BD708E">
      <w:pPr>
        <w:shd w:val="clear" w:color="auto" w:fill="FFFFFF"/>
        <w:spacing w:before="100" w:beforeAutospacing="1" w:after="100" w:afterAutospacing="1" w:line="240" w:lineRule="auto"/>
        <w:textAlignment w:val="baseline"/>
        <w:outlineLvl w:val="3"/>
        <w:rPr>
          <w:rFonts w:ascii="Helvetica" w:eastAsia="Times New Roman" w:hAnsi="Helvetica" w:cs="Helvetica"/>
          <w:color w:val="333333"/>
          <w:sz w:val="39"/>
          <w:szCs w:val="39"/>
          <w:lang w:val="en-GB" w:bidi="mn-Mong-MN"/>
        </w:rPr>
      </w:pPr>
      <w:r w:rsidRPr="00BD708E">
        <w:rPr>
          <w:rFonts w:ascii="Helvetica" w:eastAsia="Times New Roman" w:hAnsi="Helvetica" w:cs="Helvetica"/>
          <w:color w:val="333333"/>
          <w:sz w:val="39"/>
          <w:szCs w:val="39"/>
          <w:lang w:val="en-GB" w:bidi="mn-Mong-MN"/>
        </w:rPr>
        <w:t>Book description</w:t>
      </w:r>
    </w:p>
    <w:p w:rsidR="00BD708E" w:rsidRPr="00BD708E" w:rsidRDefault="00BD708E" w:rsidP="00BD708E">
      <w:pPr>
        <w:shd w:val="clear" w:color="auto" w:fill="FFFFFF"/>
        <w:spacing w:before="100" w:beforeAutospacing="1"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This book traces religion and secularity in eleven countries not shaped by Western Christianity (Japan, China, Indonesia, India, Pakistan, Iran, Russia, Turkey, Israel, Egypt, and Morocco), and how they parallel or diverge from Charles Taylor's grand narrative of the North Atlantic world, A Secular Age (2007). In all eleven cases, the state - enhanced by post-colonial and post-imperial legacies - highly determines religious experience, by variably regulating religious belief, practice, property, education, and/or law. Taylor's core condition of secularity - namely, legal permissibility and social acceptance of open religious unbelief (Secularity III) - is largely absent in these societies. The areas affected by state regulation, however, differ greatly. In India, Israel and most Muslim countries, questions of religious law are central to state regulation. But it is religious education and organization in China and church property and public practice in Russia that bear the brunt. This book explains these differences using the concept of 'differential burdening'.</w:t>
      </w:r>
    </w:p>
    <w:p w:rsidR="00BD708E" w:rsidRPr="00BD708E" w:rsidRDefault="00BD708E" w:rsidP="00BD708E">
      <w:pPr>
        <w:shd w:val="clear" w:color="auto" w:fill="FFFFFF"/>
        <w:spacing w:before="100" w:beforeAutospacing="1" w:after="100" w:afterAutospacing="1" w:line="240" w:lineRule="auto"/>
        <w:textAlignment w:val="baseline"/>
        <w:outlineLvl w:val="3"/>
        <w:rPr>
          <w:rFonts w:ascii="Helvetica" w:eastAsia="Times New Roman" w:hAnsi="Helvetica" w:cs="Helvetica"/>
          <w:color w:val="333333"/>
          <w:sz w:val="39"/>
          <w:szCs w:val="39"/>
          <w:lang w:val="en-GB" w:bidi="mn-Mong-MN"/>
        </w:rPr>
      </w:pPr>
      <w:r w:rsidRPr="00BD708E">
        <w:rPr>
          <w:rFonts w:ascii="Helvetica" w:eastAsia="Times New Roman" w:hAnsi="Helvetica" w:cs="Helvetica"/>
          <w:color w:val="333333"/>
          <w:sz w:val="39"/>
          <w:szCs w:val="39"/>
          <w:lang w:val="en-GB" w:bidi="mn-Mong-MN"/>
        </w:rPr>
        <w:t>Reviews</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 xml:space="preserve">‘With much learning, empirical range, and analytical acuity, this rich consideration of religion's qualities and effects profoundly extends Charles Taylor's influential scholarship on the origins and character of modern secularity in the West. Placing decisions by states across the globe at the </w:t>
      </w:r>
      <w:proofErr w:type="spellStart"/>
      <w:r w:rsidRPr="00BD708E">
        <w:rPr>
          <w:rFonts w:ascii="Helvetica" w:eastAsia="Times New Roman" w:hAnsi="Helvetica" w:cs="Helvetica"/>
          <w:color w:val="595959"/>
          <w:sz w:val="24"/>
          <w:szCs w:val="24"/>
          <w:lang w:val="en-GB" w:bidi="mn-Mong-MN"/>
        </w:rPr>
        <w:t>center</w:t>
      </w:r>
      <w:proofErr w:type="spellEnd"/>
      <w:r w:rsidRPr="00BD708E">
        <w:rPr>
          <w:rFonts w:ascii="Helvetica" w:eastAsia="Times New Roman" w:hAnsi="Helvetica" w:cs="Helvetica"/>
          <w:color w:val="595959"/>
          <w:sz w:val="24"/>
          <w:szCs w:val="24"/>
          <w:lang w:val="en-GB" w:bidi="mn-Mong-MN"/>
        </w:rPr>
        <w:t xml:space="preserve"> of the </w:t>
      </w:r>
      <w:proofErr w:type="gramStart"/>
      <w:r w:rsidRPr="00BD708E">
        <w:rPr>
          <w:rFonts w:ascii="Helvetica" w:eastAsia="Times New Roman" w:hAnsi="Helvetica" w:cs="Helvetica"/>
          <w:color w:val="595959"/>
          <w:sz w:val="24"/>
          <w:szCs w:val="24"/>
          <w:lang w:val="en-GB" w:bidi="mn-Mong-MN"/>
        </w:rPr>
        <w:t>often surprising</w:t>
      </w:r>
      <w:proofErr w:type="gramEnd"/>
      <w:r w:rsidRPr="00BD708E">
        <w:rPr>
          <w:rFonts w:ascii="Helvetica" w:eastAsia="Times New Roman" w:hAnsi="Helvetica" w:cs="Helvetica"/>
          <w:color w:val="595959"/>
          <w:sz w:val="24"/>
          <w:szCs w:val="24"/>
          <w:lang w:val="en-GB" w:bidi="mn-Mong-MN"/>
        </w:rPr>
        <w:t xml:space="preserve"> formations that constitute modernity, the volume's essays powerfully show how religious institutions and faith shape the public sphere, and illuminate how systems of belief, law, and participation orient national practices and identities. Must read!'</w:t>
      </w:r>
    </w:p>
    <w:p w:rsidR="00BD708E" w:rsidRPr="00BD708E" w:rsidRDefault="00BD708E" w:rsidP="00BD708E">
      <w:pPr>
        <w:shd w:val="clear" w:color="auto" w:fill="FFFFFF"/>
        <w:spacing w:before="100" w:beforeAutospacing="1" w:after="100" w:afterAutospacing="1" w:line="240" w:lineRule="auto"/>
        <w:textAlignment w:val="baseline"/>
        <w:rPr>
          <w:rFonts w:ascii="Helvetica" w:eastAsia="Times New Roman" w:hAnsi="Helvetica" w:cs="Helvetica"/>
          <w:color w:val="595959"/>
          <w:sz w:val="18"/>
          <w:szCs w:val="18"/>
          <w:lang w:val="en-GB" w:bidi="mn-Mong-MN"/>
        </w:rPr>
      </w:pPr>
      <w:r w:rsidRPr="00BD708E">
        <w:rPr>
          <w:rFonts w:ascii="Helvetica" w:eastAsia="Times New Roman" w:hAnsi="Helvetica" w:cs="Helvetica"/>
          <w:color w:val="595959"/>
          <w:sz w:val="18"/>
          <w:szCs w:val="18"/>
          <w:lang w:val="en-GB" w:bidi="mn-Mong-MN"/>
        </w:rPr>
        <w:t>Ira Katznelson - Columbia University, New York</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‘This collection of studies is a remarkably important contribution to understanding the ways in which Charles Taylor's delineation of the emergence of a secular age is, or is not, replicated in non-Western areas of the world.'</w:t>
      </w:r>
    </w:p>
    <w:p w:rsidR="00BD708E" w:rsidRPr="00BD708E" w:rsidRDefault="00BD708E" w:rsidP="00BD708E">
      <w:pPr>
        <w:shd w:val="clear" w:color="auto" w:fill="FFFFFF"/>
        <w:spacing w:before="100" w:beforeAutospacing="1" w:after="100" w:afterAutospacing="1" w:line="240" w:lineRule="auto"/>
        <w:textAlignment w:val="baseline"/>
        <w:rPr>
          <w:rFonts w:ascii="Helvetica" w:eastAsia="Times New Roman" w:hAnsi="Helvetica" w:cs="Helvetica"/>
          <w:color w:val="595959"/>
          <w:sz w:val="18"/>
          <w:szCs w:val="18"/>
          <w:lang w:val="en-GB" w:bidi="mn-Mong-MN"/>
        </w:rPr>
      </w:pPr>
      <w:r w:rsidRPr="00BD708E">
        <w:rPr>
          <w:rFonts w:ascii="Helvetica" w:eastAsia="Times New Roman" w:hAnsi="Helvetica" w:cs="Helvetica"/>
          <w:color w:val="595959"/>
          <w:sz w:val="18"/>
          <w:szCs w:val="18"/>
          <w:lang w:val="en-GB" w:bidi="mn-Mong-MN"/>
        </w:rPr>
        <w:t>David Martin - Fellow of the British Academy</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 xml:space="preserve">'The West pioneered and to a large extent institutionalized a distinction between secular and more religious or sacred affairs. This has influenced the rest of the world, but also taken on different character in different settings, shaped by both innovations and different histories. This outstanding book is the best source for appreciating both </w:t>
      </w:r>
      <w:r w:rsidRPr="00BD708E">
        <w:rPr>
          <w:rFonts w:ascii="Helvetica" w:eastAsia="Times New Roman" w:hAnsi="Helvetica" w:cs="Helvetica"/>
          <w:color w:val="595959"/>
          <w:sz w:val="24"/>
          <w:szCs w:val="24"/>
          <w:lang w:val="en-GB" w:bidi="mn-Mong-MN"/>
        </w:rPr>
        <w:lastRenderedPageBreak/>
        <w:t>the diversity of secularisms and the ways they all inform what Charles Taylor identified as our secular age.'</w:t>
      </w:r>
    </w:p>
    <w:p w:rsidR="00BD708E" w:rsidRPr="00BD708E" w:rsidRDefault="00BD708E" w:rsidP="00BD708E">
      <w:pPr>
        <w:shd w:val="clear" w:color="auto" w:fill="FFFFFF"/>
        <w:spacing w:before="100" w:beforeAutospacing="1" w:after="100" w:afterAutospacing="1" w:line="240" w:lineRule="auto"/>
        <w:textAlignment w:val="baseline"/>
        <w:rPr>
          <w:rFonts w:ascii="Helvetica" w:eastAsia="Times New Roman" w:hAnsi="Helvetica" w:cs="Helvetica"/>
          <w:color w:val="595959"/>
          <w:sz w:val="18"/>
          <w:szCs w:val="18"/>
          <w:lang w:val="en-GB" w:bidi="mn-Mong-MN"/>
        </w:rPr>
      </w:pPr>
      <w:r w:rsidRPr="00BD708E">
        <w:rPr>
          <w:rFonts w:ascii="Helvetica" w:eastAsia="Times New Roman" w:hAnsi="Helvetica" w:cs="Helvetica"/>
          <w:color w:val="595959"/>
          <w:sz w:val="18"/>
          <w:szCs w:val="18"/>
          <w:lang w:val="en-GB" w:bidi="mn-Mong-MN"/>
        </w:rPr>
        <w:t>Craig Calhoun - President of the Berggruen Institute, California</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'The book ambitiously and innovatively recasts Charles Taylor’s classic account of the secularization of the conditions of belief in the modern North Atlantic in a near-global perspective. State power was crucial to realize elite initiatives at critical junctures to reduce religion’s public roles in societies where these efforts did not draw broad support. But the authors find that state-led transformative projects made religious belonging crucial to citizenship in ways that hindered the secularization of the conditions of belief in most Asian, East European, and North African societies. Comprehensively comparative analyses of forms of secularity, we learn, should focus on how state regulation crucially determines religion’s influence over political authority and public life, and thus the feasibility of unbelief. Combining the fine-grained and contextually sensitive approaches of area specialists with an overarching and coherent conceptual vision, this fine volume advances the cutting edge of multi-disciplinary research on global secularities and public religion and should become a major reference work.'</w:t>
      </w:r>
    </w:p>
    <w:p w:rsidR="00BD708E" w:rsidRPr="00BD708E" w:rsidRDefault="00BD708E" w:rsidP="00BD708E">
      <w:pPr>
        <w:shd w:val="clear" w:color="auto" w:fill="FFFFFF"/>
        <w:spacing w:before="100" w:beforeAutospacing="1" w:after="100" w:afterAutospacing="1" w:line="240" w:lineRule="auto"/>
        <w:textAlignment w:val="baseline"/>
        <w:rPr>
          <w:rFonts w:ascii="Helvetica" w:eastAsia="Times New Roman" w:hAnsi="Helvetica" w:cs="Helvetica"/>
          <w:color w:val="595959"/>
          <w:sz w:val="18"/>
          <w:szCs w:val="18"/>
          <w:lang w:val="en-GB" w:bidi="mn-Mong-MN"/>
        </w:rPr>
      </w:pPr>
      <w:r w:rsidRPr="00BD708E">
        <w:rPr>
          <w:rFonts w:ascii="Helvetica" w:eastAsia="Times New Roman" w:hAnsi="Helvetica" w:cs="Helvetica"/>
          <w:color w:val="595959"/>
          <w:sz w:val="18"/>
          <w:szCs w:val="18"/>
          <w:lang w:val="en-GB" w:bidi="mn-Mong-MN"/>
        </w:rPr>
        <w:t>Narendra Subramanian - McGill University, author of Nation and Family: Personal Law, Cultural Pluralism, and Gendered Citizenship in India</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'This is a timely set of interventions for an age where the very fabric of the state vis-a-vis religion, 'God' and secularism is becoming central in debates not only within the academic community but well-beyond - among politicians and political parties, and now even inside the spaces of foreign and international development policy. This book lays out an important analytical and practical approach to understanding the complexities of competing narratives by means of close factual analysis of particular cases and comparison between them. This is a necessary read in today's times.'</w:t>
      </w:r>
    </w:p>
    <w:p w:rsidR="00BD708E" w:rsidRPr="00BD708E" w:rsidRDefault="00BD708E" w:rsidP="00BD708E">
      <w:pPr>
        <w:shd w:val="clear" w:color="auto" w:fill="FFFFFF"/>
        <w:spacing w:before="100" w:beforeAutospacing="1" w:after="100" w:afterAutospacing="1" w:line="240" w:lineRule="auto"/>
        <w:textAlignment w:val="baseline"/>
        <w:rPr>
          <w:rFonts w:ascii="Helvetica" w:eastAsia="Times New Roman" w:hAnsi="Helvetica" w:cs="Helvetica"/>
          <w:color w:val="595959"/>
          <w:sz w:val="18"/>
          <w:szCs w:val="18"/>
          <w:lang w:val="en-GB" w:bidi="mn-Mong-MN"/>
        </w:rPr>
      </w:pPr>
      <w:proofErr w:type="spellStart"/>
      <w:r w:rsidRPr="00BD708E">
        <w:rPr>
          <w:rFonts w:ascii="Helvetica" w:eastAsia="Times New Roman" w:hAnsi="Helvetica" w:cs="Helvetica"/>
          <w:color w:val="595959"/>
          <w:sz w:val="18"/>
          <w:szCs w:val="18"/>
          <w:lang w:val="en-GB" w:bidi="mn-Mong-MN"/>
        </w:rPr>
        <w:t>Azza</w:t>
      </w:r>
      <w:proofErr w:type="spellEnd"/>
      <w:r w:rsidRPr="00BD708E">
        <w:rPr>
          <w:rFonts w:ascii="Helvetica" w:eastAsia="Times New Roman" w:hAnsi="Helvetica" w:cs="Helvetica"/>
          <w:color w:val="595959"/>
          <w:sz w:val="18"/>
          <w:szCs w:val="18"/>
          <w:lang w:val="en-GB" w:bidi="mn-Mong-MN"/>
        </w:rPr>
        <w:t xml:space="preserve"> Karam - United Nations Population Fund</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'A strong, well-argued book at the heart of current local and global debates on the relationship between state and religion. Altogether, the chapters make a remarkably coherent whole where the meeting of sociological concepts and grounded realities unfolds in a flow that gives meaning to our deepest concerns. This is a most welcome book in a troubled era that needs global solutions for globally-created dilemmas.'</w:t>
      </w:r>
    </w:p>
    <w:p w:rsidR="00BD708E" w:rsidRPr="00BD708E" w:rsidRDefault="00BD708E" w:rsidP="00BD708E">
      <w:pPr>
        <w:shd w:val="clear" w:color="auto" w:fill="FFFFFF"/>
        <w:spacing w:before="100" w:beforeAutospacing="1" w:after="100" w:afterAutospacing="1" w:line="240" w:lineRule="auto"/>
        <w:textAlignment w:val="baseline"/>
        <w:rPr>
          <w:rFonts w:ascii="Helvetica" w:eastAsia="Times New Roman" w:hAnsi="Helvetica" w:cs="Helvetica"/>
          <w:color w:val="595959"/>
          <w:sz w:val="18"/>
          <w:szCs w:val="18"/>
          <w:lang w:val="en-GB" w:bidi="mn-Mong-MN"/>
        </w:rPr>
      </w:pPr>
      <w:r w:rsidRPr="00BD708E">
        <w:rPr>
          <w:rFonts w:ascii="Helvetica" w:eastAsia="Times New Roman" w:hAnsi="Helvetica" w:cs="Helvetica"/>
          <w:color w:val="595959"/>
          <w:sz w:val="18"/>
          <w:szCs w:val="18"/>
          <w:lang w:val="en-GB" w:bidi="mn-Mong-MN"/>
        </w:rPr>
        <w:t>Fatima Sadiqi - University of Fez, Morocco, President of the Association for Middle East Women's Studies (AMEWS)</w:t>
      </w:r>
    </w:p>
    <w:p w:rsidR="00BD708E" w:rsidRPr="00BD708E" w:rsidRDefault="00BD708E" w:rsidP="00BD708E">
      <w:pPr>
        <w:shd w:val="clear" w:color="auto" w:fill="FFFFFF"/>
        <w:spacing w:after="100" w:afterAutospacing="1" w:line="360" w:lineRule="atLeast"/>
        <w:textAlignment w:val="baseline"/>
        <w:rPr>
          <w:rFonts w:ascii="Helvetica" w:eastAsia="Times New Roman" w:hAnsi="Helvetica" w:cs="Helvetica"/>
          <w:color w:val="595959"/>
          <w:sz w:val="24"/>
          <w:szCs w:val="24"/>
          <w:lang w:val="en-GB" w:bidi="mn-Mong-MN"/>
        </w:rPr>
      </w:pPr>
      <w:r w:rsidRPr="00BD708E">
        <w:rPr>
          <w:rFonts w:ascii="Helvetica" w:eastAsia="Times New Roman" w:hAnsi="Helvetica" w:cs="Helvetica"/>
          <w:color w:val="595959"/>
          <w:sz w:val="24"/>
          <w:szCs w:val="24"/>
          <w:lang w:val="en-GB" w:bidi="mn-Mong-MN"/>
        </w:rPr>
        <w:t>'This edited volume is extraordinarily well researched, coherent and inspiring, and it is therefore probably the best contribution to this body of scholarly work so far. … It thoroughly engages with the question of what the 'secular' could mean and look like outside the Christian world where it was always a cognate term of the (Christian) notion of religion; it identifies institutional configurations, critical junctures and pathway dependencies of secularity in the areas under study; and it explores the question of how legal and political regulations of religion and 'conditions of belief', e.g. the forms and possibilities of worldview pluralism, are related to one another. … this book is a monumental accomplishment and highly recommended to students of law, secularism, globalization, and transregional sociology.'</w:t>
      </w:r>
    </w:p>
    <w:p w:rsidR="00BD708E" w:rsidRPr="00BD708E" w:rsidRDefault="00BD708E" w:rsidP="00BD708E">
      <w:pPr>
        <w:shd w:val="clear" w:color="auto" w:fill="FFFFFF"/>
        <w:spacing w:beforeAutospacing="1" w:after="0" w:afterAutospacing="1" w:line="240" w:lineRule="auto"/>
        <w:textAlignment w:val="baseline"/>
        <w:rPr>
          <w:rFonts w:ascii="Helvetica" w:eastAsia="Times New Roman" w:hAnsi="Helvetica" w:cs="Helvetica"/>
          <w:color w:val="595959"/>
          <w:sz w:val="18"/>
          <w:szCs w:val="18"/>
          <w:lang w:val="en-GB" w:bidi="mn-Mong-MN"/>
        </w:rPr>
      </w:pPr>
      <w:r w:rsidRPr="00BD708E">
        <w:rPr>
          <w:rFonts w:ascii="Helvetica" w:eastAsia="Times New Roman" w:hAnsi="Helvetica" w:cs="Helvetica"/>
          <w:color w:val="595959"/>
          <w:sz w:val="18"/>
          <w:szCs w:val="18"/>
          <w:lang w:val="en-GB" w:bidi="mn-Mong-MN"/>
        </w:rPr>
        <w:t xml:space="preserve">Marian </w:t>
      </w:r>
      <w:proofErr w:type="spellStart"/>
      <w:r w:rsidRPr="00BD708E">
        <w:rPr>
          <w:rFonts w:ascii="Helvetica" w:eastAsia="Times New Roman" w:hAnsi="Helvetica" w:cs="Helvetica"/>
          <w:color w:val="595959"/>
          <w:sz w:val="18"/>
          <w:szCs w:val="18"/>
          <w:lang w:val="en-GB" w:bidi="mn-Mong-MN"/>
        </w:rPr>
        <w:t>Burchardt</w:t>
      </w:r>
      <w:proofErr w:type="spellEnd"/>
      <w:r w:rsidRPr="00BD708E">
        <w:rPr>
          <w:rFonts w:ascii="Helvetica" w:eastAsia="Times New Roman" w:hAnsi="Helvetica" w:cs="Helvetica"/>
          <w:color w:val="595959"/>
          <w:sz w:val="18"/>
          <w:szCs w:val="18"/>
          <w:lang w:val="en-GB" w:bidi="mn-Mong-MN"/>
        </w:rPr>
        <w:t> </w:t>
      </w:r>
      <w:r w:rsidRPr="00BD708E">
        <w:rPr>
          <w:rFonts w:ascii="inherit" w:eastAsia="Times New Roman" w:hAnsi="inherit" w:cs="Helvetica"/>
          <w:i/>
          <w:iCs/>
          <w:color w:val="595959"/>
          <w:sz w:val="18"/>
          <w:szCs w:val="18"/>
          <w:bdr w:val="none" w:sz="0" w:space="0" w:color="auto" w:frame="1"/>
          <w:lang w:val="en-GB" w:bidi="mn-Mong-MN"/>
        </w:rPr>
        <w:t>Source: Oxford Journal of Law and Religion</w:t>
      </w:r>
    </w:p>
    <w:p w:rsidR="00BD708E" w:rsidRPr="00BD708E" w:rsidRDefault="00BD708E">
      <w:pPr>
        <w:rPr>
          <w:lang w:val="en-GB"/>
        </w:rPr>
      </w:pPr>
    </w:p>
    <w:sectPr w:rsidR="00BD708E" w:rsidRPr="00BD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8E"/>
    <w:rsid w:val="000856B6"/>
    <w:rsid w:val="000A41F0"/>
    <w:rsid w:val="0048015B"/>
    <w:rsid w:val="0050125D"/>
    <w:rsid w:val="00601B5A"/>
    <w:rsid w:val="007B5712"/>
    <w:rsid w:val="008517E3"/>
    <w:rsid w:val="00871E11"/>
    <w:rsid w:val="008E5BD7"/>
    <w:rsid w:val="00A22F35"/>
    <w:rsid w:val="00B65B3B"/>
    <w:rsid w:val="00BD708E"/>
    <w:rsid w:val="00C415EF"/>
    <w:rsid w:val="00C946E0"/>
    <w:rsid w:val="00CC3116"/>
    <w:rsid w:val="00E062DE"/>
    <w:rsid w:val="00E167DC"/>
    <w:rsid w:val="00F777A3"/>
    <w:rsid w:val="00FD0986"/>
  </w:rsids>
  <m:mathPr>
    <m:mathFont m:val="Cambria Math"/>
    <m:brkBin m:val="before"/>
    <m:brkBinSub m:val="--"/>
    <m:smallFrac m:val="0"/>
    <m:dispDef/>
    <m:lMargin m:val="0"/>
    <m:rMargin m:val="0"/>
    <m:defJc m:val="centerGroup"/>
    <m:wrapIndent m:val="1440"/>
    <m:intLim m:val="subSup"/>
    <m:naryLim m:val="undOvr"/>
  </m:mathPr>
  <w:themeFontLang w:val="fr-FR"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0FF"/>
  <w15:chartTrackingRefBased/>
  <w15:docId w15:val="{ADFEA5EE-4CB0-4542-A22B-6CAC434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BD7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BD708E"/>
    <w:pPr>
      <w:spacing w:before="100" w:beforeAutospacing="1" w:after="100" w:afterAutospacing="1" w:line="240" w:lineRule="auto"/>
      <w:outlineLvl w:val="3"/>
    </w:pPr>
    <w:rPr>
      <w:rFonts w:ascii="Times New Roman" w:eastAsia="Times New Roman" w:hAnsi="Times New Roman" w:cs="Times New Roman"/>
      <w:b/>
      <w:bCs/>
      <w:sz w:val="24"/>
      <w:szCs w:val="24"/>
      <w:lang w:bidi="mn-Mong-M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D708E"/>
    <w:rPr>
      <w:rFonts w:ascii="Times New Roman" w:eastAsia="Times New Roman" w:hAnsi="Times New Roman" w:cs="Times New Roman"/>
      <w:b/>
      <w:bCs/>
      <w:sz w:val="24"/>
      <w:szCs w:val="24"/>
      <w:lang w:bidi="mn-Mong-MN"/>
    </w:rPr>
  </w:style>
  <w:style w:type="paragraph" w:customStyle="1" w:styleId="paragraph01">
    <w:name w:val="paragraph_01"/>
    <w:basedOn w:val="Normal"/>
    <w:rsid w:val="00BD708E"/>
    <w:pPr>
      <w:spacing w:before="100" w:beforeAutospacing="1" w:after="100" w:afterAutospacing="1" w:line="240" w:lineRule="auto"/>
    </w:pPr>
    <w:rPr>
      <w:rFonts w:ascii="Times New Roman" w:eastAsia="Times New Roman" w:hAnsi="Times New Roman" w:cs="Times New Roman"/>
      <w:sz w:val="24"/>
      <w:szCs w:val="24"/>
      <w:lang w:bidi="mn-Mong-MN"/>
    </w:rPr>
  </w:style>
  <w:style w:type="paragraph" w:customStyle="1" w:styleId="paragraph07">
    <w:name w:val="paragraph_07"/>
    <w:basedOn w:val="Normal"/>
    <w:rsid w:val="00BD708E"/>
    <w:pPr>
      <w:spacing w:before="100" w:beforeAutospacing="1" w:after="100" w:afterAutospacing="1" w:line="240" w:lineRule="auto"/>
    </w:pPr>
    <w:rPr>
      <w:rFonts w:ascii="Times New Roman" w:eastAsia="Times New Roman" w:hAnsi="Times New Roman" w:cs="Times New Roman"/>
      <w:sz w:val="24"/>
      <w:szCs w:val="24"/>
      <w:lang w:bidi="mn-Mong-MN"/>
    </w:rPr>
  </w:style>
  <w:style w:type="character" w:customStyle="1" w:styleId="review-source">
    <w:name w:val="review-source"/>
    <w:basedOn w:val="Policepardfaut"/>
    <w:rsid w:val="00BD708E"/>
  </w:style>
  <w:style w:type="character" w:customStyle="1" w:styleId="Titre3Car">
    <w:name w:val="Titre 3 Car"/>
    <w:basedOn w:val="Policepardfaut"/>
    <w:link w:val="Titre3"/>
    <w:uiPriority w:val="9"/>
    <w:semiHidden/>
    <w:rsid w:val="00BD708E"/>
    <w:rPr>
      <w:rFonts w:asciiTheme="majorHAnsi" w:eastAsiaTheme="majorEastAsia" w:hAnsiTheme="majorHAnsi" w:cstheme="majorBidi"/>
      <w:color w:val="1F3763" w:themeColor="accent1" w:themeShade="7F"/>
      <w:sz w:val="24"/>
      <w:szCs w:val="24"/>
    </w:rPr>
  </w:style>
  <w:style w:type="character" w:customStyle="1" w:styleId="author-name">
    <w:name w:val="author-name"/>
    <w:basedOn w:val="Policepardfaut"/>
    <w:rsid w:val="00BD708E"/>
  </w:style>
  <w:style w:type="character" w:customStyle="1" w:styleId="affiliation">
    <w:name w:val="affiliation"/>
    <w:basedOn w:val="Policepardfaut"/>
    <w:rsid w:val="00BD708E"/>
  </w:style>
  <w:style w:type="character" w:customStyle="1" w:styleId="separator">
    <w:name w:val="separator"/>
    <w:basedOn w:val="Policepardfaut"/>
    <w:rsid w:val="00BD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84359">
      <w:bodyDiv w:val="1"/>
      <w:marLeft w:val="0"/>
      <w:marRight w:val="0"/>
      <w:marTop w:val="0"/>
      <w:marBottom w:val="0"/>
      <w:divBdr>
        <w:top w:val="none" w:sz="0" w:space="0" w:color="auto"/>
        <w:left w:val="none" w:sz="0" w:space="0" w:color="auto"/>
        <w:bottom w:val="none" w:sz="0" w:space="0" w:color="auto"/>
        <w:right w:val="none" w:sz="0" w:space="0" w:color="auto"/>
      </w:divBdr>
      <w:divsChild>
        <w:div w:id="1710301688">
          <w:marLeft w:val="0"/>
          <w:marRight w:val="0"/>
          <w:marTop w:val="0"/>
          <w:marBottom w:val="0"/>
          <w:divBdr>
            <w:top w:val="none" w:sz="0" w:space="0" w:color="auto"/>
            <w:left w:val="none" w:sz="0" w:space="0" w:color="auto"/>
            <w:bottom w:val="none" w:sz="0" w:space="0" w:color="auto"/>
            <w:right w:val="none" w:sz="0" w:space="0" w:color="auto"/>
          </w:divBdr>
          <w:divsChild>
            <w:div w:id="1881243229">
              <w:marLeft w:val="0"/>
              <w:marRight w:val="0"/>
              <w:marTop w:val="0"/>
              <w:marBottom w:val="0"/>
              <w:divBdr>
                <w:top w:val="none" w:sz="0" w:space="0" w:color="auto"/>
                <w:left w:val="none" w:sz="0" w:space="0" w:color="auto"/>
                <w:bottom w:val="none" w:sz="0" w:space="0" w:color="auto"/>
                <w:right w:val="none" w:sz="0" w:space="0" w:color="auto"/>
              </w:divBdr>
              <w:divsChild>
                <w:div w:id="1383557554">
                  <w:marLeft w:val="0"/>
                  <w:marRight w:val="0"/>
                  <w:marTop w:val="0"/>
                  <w:marBottom w:val="300"/>
                  <w:divBdr>
                    <w:top w:val="none" w:sz="0" w:space="0" w:color="auto"/>
                    <w:left w:val="none" w:sz="0" w:space="0" w:color="auto"/>
                    <w:bottom w:val="none" w:sz="0" w:space="0" w:color="auto"/>
                    <w:right w:val="none" w:sz="0" w:space="0" w:color="auto"/>
                  </w:divBdr>
                </w:div>
              </w:divsChild>
            </w:div>
            <w:div w:id="10838105">
              <w:marLeft w:val="0"/>
              <w:marRight w:val="0"/>
              <w:marTop w:val="0"/>
              <w:marBottom w:val="0"/>
              <w:divBdr>
                <w:top w:val="none" w:sz="0" w:space="0" w:color="auto"/>
                <w:left w:val="none" w:sz="0" w:space="0" w:color="auto"/>
                <w:bottom w:val="none" w:sz="0" w:space="0" w:color="auto"/>
                <w:right w:val="none" w:sz="0" w:space="0" w:color="auto"/>
              </w:divBdr>
              <w:divsChild>
                <w:div w:id="177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5725">
          <w:marLeft w:val="0"/>
          <w:marRight w:val="0"/>
          <w:marTop w:val="0"/>
          <w:marBottom w:val="0"/>
          <w:divBdr>
            <w:top w:val="none" w:sz="0" w:space="0" w:color="auto"/>
            <w:left w:val="none" w:sz="0" w:space="0" w:color="auto"/>
            <w:bottom w:val="none" w:sz="0" w:space="0" w:color="auto"/>
            <w:right w:val="none" w:sz="0" w:space="0" w:color="auto"/>
          </w:divBdr>
          <w:divsChild>
            <w:div w:id="49119072">
              <w:marLeft w:val="0"/>
              <w:marRight w:val="0"/>
              <w:marTop w:val="0"/>
              <w:marBottom w:val="0"/>
              <w:divBdr>
                <w:top w:val="none" w:sz="0" w:space="0" w:color="auto"/>
                <w:left w:val="none" w:sz="0" w:space="0" w:color="auto"/>
                <w:bottom w:val="none" w:sz="0" w:space="0" w:color="auto"/>
                <w:right w:val="none" w:sz="0" w:space="0" w:color="auto"/>
              </w:divBdr>
              <w:divsChild>
                <w:div w:id="1163280011">
                  <w:marLeft w:val="0"/>
                  <w:marRight w:val="0"/>
                  <w:marTop w:val="0"/>
                  <w:marBottom w:val="300"/>
                  <w:divBdr>
                    <w:top w:val="none" w:sz="0" w:space="0" w:color="auto"/>
                    <w:left w:val="none" w:sz="0" w:space="0" w:color="auto"/>
                    <w:bottom w:val="none" w:sz="0" w:space="0" w:color="auto"/>
                    <w:right w:val="none" w:sz="0" w:space="0" w:color="auto"/>
                  </w:divBdr>
                </w:div>
              </w:divsChild>
            </w:div>
            <w:div w:id="2022316459">
              <w:marLeft w:val="0"/>
              <w:marRight w:val="0"/>
              <w:marTop w:val="0"/>
              <w:marBottom w:val="0"/>
              <w:divBdr>
                <w:top w:val="none" w:sz="0" w:space="0" w:color="auto"/>
                <w:left w:val="none" w:sz="0" w:space="0" w:color="auto"/>
                <w:bottom w:val="none" w:sz="0" w:space="0" w:color="auto"/>
                <w:right w:val="none" w:sz="0" w:space="0" w:color="auto"/>
              </w:divBdr>
              <w:divsChild>
                <w:div w:id="6225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5006</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A secular Age beyond the West, Mirjam Künkler, John Madeley, Shylashri Shankar,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Marie-Dominique Even</dc:creator>
  <cp:keywords/>
  <dc:description/>
  <cp:lastModifiedBy>Marie-Dominique Even</cp:lastModifiedBy>
  <cp:revision>1</cp:revision>
  <dcterms:created xsi:type="dcterms:W3CDTF">2018-12-04T16:13:00Z</dcterms:created>
  <dcterms:modified xsi:type="dcterms:W3CDTF">2018-12-04T16:29:00Z</dcterms:modified>
</cp:coreProperties>
</file>