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7BE9" w14:textId="77777777" w:rsidR="00952BB5" w:rsidRPr="006306C1" w:rsidRDefault="00952BB5" w:rsidP="00952BB5">
      <w:pPr>
        <w:pStyle w:val="Titre3"/>
        <w:rPr>
          <w:rFonts w:ascii="Garamond" w:eastAsia="KaiTi" w:hAnsi="Garamond"/>
          <w:color w:val="auto"/>
          <w:lang w:val="en-US"/>
        </w:rPr>
      </w:pPr>
      <w:r w:rsidRPr="006306C1">
        <w:rPr>
          <w:rFonts w:ascii="Garamond" w:eastAsia="KaiTi" w:hAnsi="Garamond"/>
          <w:color w:val="auto"/>
          <w:lang w:val="en-US"/>
        </w:rPr>
        <w:t>Publications in Peer-Reviewed Scientific Journals</w:t>
      </w:r>
      <w:bookmarkStart w:id="0" w:name="_Hlk20475270"/>
    </w:p>
    <w:p w14:paraId="188A59C9" w14:textId="77777777" w:rsidR="00952BB5" w:rsidRPr="00DC195C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mallCaps/>
          <w:sz w:val="20"/>
          <w:szCs w:val="20"/>
          <w:lang w:val="en-US"/>
        </w:rPr>
      </w:pP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Joseph,</w:t>
      </w:r>
      <w:r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« </w:t>
      </w:r>
      <w:r w:rsidRPr="00DC195C">
        <w:rPr>
          <w:rFonts w:ascii="Garamond" w:eastAsia="KaiTi" w:hAnsi="Garamond" w:cs="Times New Roman"/>
          <w:i/>
          <w:iCs/>
          <w:sz w:val="20"/>
          <w:szCs w:val="20"/>
          <w:lang w:val="en-US"/>
        </w:rPr>
        <w:t>The Gospel of Love</w:t>
      </w:r>
      <w:r w:rsidRPr="005342DF">
        <w:rPr>
          <w:rFonts w:ascii="Garamond" w:eastAsia="KaiTi" w:hAnsi="Garamond" w:cs="Times New Roman"/>
          <w:sz w:val="20"/>
          <w:szCs w:val="20"/>
          <w:lang w:val="en-US"/>
        </w:rPr>
        <w:t xml:space="preserve"> by Tang </w:t>
      </w:r>
      <w:proofErr w:type="spellStart"/>
      <w:r w:rsidRPr="005342DF">
        <w:rPr>
          <w:rFonts w:ascii="Garamond" w:eastAsia="KaiTi" w:hAnsi="Garamond" w:cs="Times New Roman"/>
          <w:sz w:val="20"/>
          <w:szCs w:val="20"/>
          <w:lang w:val="en-US"/>
        </w:rPr>
        <w:t>Junyi</w:t>
      </w:r>
      <w:proofErr w:type="spellEnd"/>
      <w:r w:rsidRPr="005342DF">
        <w:rPr>
          <w:rFonts w:ascii="Garamond" w:eastAsia="KaiTi" w:hAnsi="Garamond" w:cs="Times New Roman"/>
          <w:sz w:val="20"/>
          <w:szCs w:val="20"/>
          <w:lang w:val="en-US"/>
        </w:rPr>
        <w:t xml:space="preserve"> and the conundrum of presenting it as a Chinese </w:t>
      </w:r>
      <w:r w:rsidRPr="00DC195C">
        <w:rPr>
          <w:rFonts w:ascii="Garamond" w:eastAsia="KaiTi" w:hAnsi="Garamond" w:cs="Times New Roman"/>
          <w:i/>
          <w:iCs/>
          <w:sz w:val="20"/>
          <w:szCs w:val="20"/>
          <w:lang w:val="en-US"/>
        </w:rPr>
        <w:t>Symposium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 »</w:t>
      </w:r>
      <w:r>
        <w:rPr>
          <w:rFonts w:ascii="Garamond" w:eastAsia="KaiTi" w:hAnsi="Garamond" w:cs="Times New Roman"/>
          <w:sz w:val="20"/>
          <w:szCs w:val="20"/>
          <w:lang w:val="en-US"/>
        </w:rPr>
        <w:t xml:space="preserve">, </w:t>
      </w:r>
      <w:r>
        <w:rPr>
          <w:rFonts w:ascii="Garamond" w:eastAsia="KaiTi" w:hAnsi="Garamond" w:cs="Times New Roman"/>
          <w:i/>
          <w:iCs/>
          <w:sz w:val="20"/>
          <w:szCs w:val="20"/>
          <w:lang w:val="en-US"/>
        </w:rPr>
        <w:t>International Communication of Chinese Culture</w:t>
      </w:r>
      <w:r>
        <w:rPr>
          <w:rFonts w:ascii="Garamond" w:eastAsia="KaiTi" w:hAnsi="Garamond" w:cs="Times New Roman"/>
          <w:sz w:val="20"/>
          <w:szCs w:val="20"/>
          <w:lang w:val="en-US"/>
        </w:rPr>
        <w:t>, vol. 8, n°1, 2021 (Article accepted)</w:t>
      </w:r>
    </w:p>
    <w:p w14:paraId="0EA33A15" w14:textId="77777777" w:rsidR="00952BB5" w:rsidRPr="006306C1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mallCaps/>
          <w:sz w:val="20"/>
          <w:szCs w:val="20"/>
          <w:lang w:val="en-US"/>
        </w:rPr>
      </w:pP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Joseph, « Some Remarks on the 1923 “Controversy over Science and Metaphysics” » [online], </w:t>
      </w:r>
      <w:r w:rsidRPr="006306C1">
        <w:rPr>
          <w:rFonts w:ascii="Garamond" w:eastAsia="KaiTi" w:hAnsi="Garamond" w:cs="Times New Roman"/>
          <w:i/>
          <w:sz w:val="20"/>
          <w:szCs w:val="20"/>
          <w:lang w:val="en-US"/>
        </w:rPr>
        <w:t>ERCCS – Research Notes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, n°3, 2019, this research noted was peer-reviewed by scholars from </w:t>
      </w:r>
      <w:r w:rsidRPr="006306C1">
        <w:rPr>
          <w:rFonts w:ascii="Garamond" w:eastAsia="KaiTi" w:hAnsi="Garamond" w:cs="Times New Roman"/>
          <w:bCs/>
          <w:sz w:val="20"/>
          <w:szCs w:val="20"/>
          <w:lang w:val="en-US"/>
        </w:rPr>
        <w:t xml:space="preserve">the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European Centre for Chinese Studies</w:t>
      </w:r>
      <w:r w:rsidRPr="006306C1">
        <w:rPr>
          <w:rFonts w:ascii="Garamond" w:eastAsia="KaiTi" w:hAnsi="Garamond" w:cs="Times New Roman"/>
          <w:bCs/>
          <w:sz w:val="20"/>
          <w:szCs w:val="20"/>
          <w:lang w:val="en-US"/>
        </w:rPr>
        <w:t xml:space="preserve"> in Beijing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  <w:hyperlink r:id="rId4" w:history="1">
        <w:r w:rsidRPr="00A847EE">
          <w:rPr>
            <w:rStyle w:val="Lienhypertexte"/>
            <w:rFonts w:ascii="Garamond" w:eastAsia="KaiTi" w:hAnsi="Garamond" w:cs="Times New Roman"/>
            <w:i/>
            <w:sz w:val="20"/>
            <w:szCs w:val="20"/>
            <w:lang w:val="en-US"/>
          </w:rPr>
          <w:t>www.perspectivia.net</w:t>
        </w:r>
      </w:hyperlink>
      <w:r w:rsidRPr="006306C1">
        <w:rPr>
          <w:rFonts w:ascii="Garamond" w:eastAsia="KaiTi" w:hAnsi="Garamond" w:cs="Times New Roman"/>
          <w:i/>
          <w:sz w:val="20"/>
          <w:szCs w:val="20"/>
          <w:lang w:val="en-US"/>
        </w:rPr>
        <w:t> 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: </w:t>
      </w:r>
      <w:hyperlink r:id="rId5" w:history="1">
        <w:r w:rsidRPr="00A847EE">
          <w:rPr>
            <w:rStyle w:val="Lienhypertexte"/>
            <w:rFonts w:ascii="Garamond" w:eastAsia="KaiTi" w:hAnsi="Garamond" w:cs="Times New Roman"/>
            <w:sz w:val="20"/>
            <w:szCs w:val="20"/>
            <w:lang w:val="en-US"/>
          </w:rPr>
          <w:t>https://www.perspectivia.net/receive/pnet_mods_00001118</w:t>
        </w:r>
      </w:hyperlink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</w:p>
    <w:p w14:paraId="26F7E4BD" w14:textId="77777777" w:rsidR="00952BB5" w:rsidRPr="006306C1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en-US"/>
        </w:rPr>
      </w:pP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Joseph, « Bergson’s “intuition” in China and its Confucian fate (1915-1921): Some remarks on </w:t>
      </w:r>
      <w:proofErr w:type="spellStart"/>
      <w:r w:rsidRPr="006306C1">
        <w:rPr>
          <w:rFonts w:ascii="Garamond" w:eastAsia="KaiTi" w:hAnsi="Garamond" w:cs="Times New Roman"/>
          <w:i/>
          <w:sz w:val="20"/>
          <w:szCs w:val="20"/>
          <w:lang w:val="en-US"/>
        </w:rPr>
        <w:t>zhijue</w:t>
      </w:r>
      <w:proofErr w:type="spellEnd"/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in Modern Chinese Philosophy », </w:t>
      </w:r>
      <w:proofErr w:type="spellStart"/>
      <w:r w:rsidRPr="006306C1">
        <w:rPr>
          <w:rFonts w:ascii="Garamond" w:eastAsia="KaiTi" w:hAnsi="Garamond" w:cs="Times New Roman"/>
          <w:i/>
          <w:sz w:val="20"/>
          <w:szCs w:val="20"/>
          <w:lang w:val="en-US"/>
        </w:rPr>
        <w:t>Problemos</w:t>
      </w:r>
      <w:proofErr w:type="spellEnd"/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, Supplement 2016, pp. 35-50. Available at </w:t>
      </w:r>
      <w:hyperlink r:id="rId6" w:history="1">
        <w:r w:rsidRPr="00A847EE">
          <w:rPr>
            <w:rStyle w:val="Lienhypertexte"/>
            <w:rFonts w:ascii="Garamond" w:eastAsia="KaiTi" w:hAnsi="Garamond" w:cs="Times New Roman"/>
            <w:sz w:val="20"/>
            <w:szCs w:val="20"/>
            <w:lang w:val="en-US"/>
          </w:rPr>
          <w:t>http://www.journals.vu.lt/problemos/article/view/10353/8261</w:t>
        </w:r>
      </w:hyperlink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</w:p>
    <w:p w14:paraId="0F0EE77A" w14:textId="77777777" w:rsidR="00952BB5" w:rsidRPr="006306C1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en-US"/>
        </w:rPr>
      </w:pPr>
      <w:r w:rsidRPr="00F909DF">
        <w:rPr>
          <w:rFonts w:ascii="Garamond" w:eastAsia="KaiTi" w:hAnsi="Garamond" w:cs="Times New Roman"/>
          <w:smallCaps/>
          <w:sz w:val="20"/>
          <w:szCs w:val="20"/>
        </w:rPr>
        <w:t>Ciaudo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 Joseph, « Une lecture chinoise d’Arnold Toynbee : Zhang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Junmai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et le problème de la continuité historique de la culture chinoise », </w:t>
      </w:r>
      <w:r w:rsidRPr="00F909DF">
        <w:rPr>
          <w:rFonts w:ascii="Garamond" w:eastAsia="KaiTi" w:hAnsi="Garamond" w:cs="Times New Roman"/>
          <w:i/>
          <w:sz w:val="20"/>
          <w:szCs w:val="20"/>
        </w:rPr>
        <w:t>Études asiatiques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, vol. 70, n°1, 2016, pp. 1-11.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Available at </w:t>
      </w:r>
      <w:hyperlink r:id="rId7" w:history="1">
        <w:r w:rsidRPr="00A847EE">
          <w:rPr>
            <w:rStyle w:val="Lienhypertexte"/>
            <w:rFonts w:ascii="Garamond" w:eastAsia="KaiTi" w:hAnsi="Garamond" w:cs="Times New Roman"/>
            <w:sz w:val="20"/>
            <w:szCs w:val="20"/>
            <w:lang w:val="en-US"/>
          </w:rPr>
          <w:t>https://www.zora.uzh.ch/id/eprint/131808/1/asia-2015-0052.pdf</w:t>
        </w:r>
      </w:hyperlink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</w:p>
    <w:p w14:paraId="49D2EB5E" w14:textId="77777777" w:rsidR="00952BB5" w:rsidRPr="006306C1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en-US"/>
        </w:rPr>
      </w:pPr>
      <w:r w:rsidRPr="00A847EE">
        <w:rPr>
          <w:rFonts w:ascii="Garamond" w:eastAsia="KaiTi" w:hAnsi="Garamond" w:cs="Times New Roman"/>
          <w:smallCaps/>
          <w:sz w:val="20"/>
          <w:szCs w:val="20"/>
        </w:rPr>
        <w:t>Ciaudo</w:t>
      </w:r>
      <w:r w:rsidRPr="00A847EE">
        <w:rPr>
          <w:rFonts w:ascii="Garamond" w:eastAsia="KaiTi" w:hAnsi="Garamond" w:cs="Times New Roman"/>
          <w:sz w:val="20"/>
          <w:szCs w:val="20"/>
        </w:rPr>
        <w:t xml:space="preserve"> Joseph, « Replacer Chen </w:t>
      </w:r>
      <w:proofErr w:type="spellStart"/>
      <w:r w:rsidRPr="00A847EE">
        <w:rPr>
          <w:rFonts w:ascii="Garamond" w:eastAsia="KaiTi" w:hAnsi="Garamond" w:cs="Times New Roman"/>
          <w:sz w:val="20"/>
          <w:szCs w:val="20"/>
        </w:rPr>
        <w:t>Duxiu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 dans son </w:t>
      </w:r>
      <w:proofErr w:type="gramStart"/>
      <w:r w:rsidRPr="00A847EE">
        <w:rPr>
          <w:rFonts w:ascii="Garamond" w:eastAsia="KaiTi" w:hAnsi="Garamond" w:cs="Times New Roman"/>
          <w:sz w:val="20"/>
          <w:szCs w:val="20"/>
        </w:rPr>
        <w:t>vocabulaire:</w:t>
      </w:r>
      <w:proofErr w:type="gramEnd"/>
      <w:r w:rsidRPr="00A847EE">
        <w:rPr>
          <w:rFonts w:ascii="Garamond" w:eastAsia="KaiTi" w:hAnsi="Garamond" w:cs="Times New Roman"/>
          <w:sz w:val="20"/>
          <w:szCs w:val="20"/>
        </w:rPr>
        <w:t xml:space="preserve"> </w:t>
      </w:r>
      <w:r w:rsidRPr="00A847EE">
        <w:rPr>
          <w:rFonts w:ascii="Garamond" w:eastAsia="KaiTi" w:hAnsi="Garamond" w:cs="Times New Roman"/>
          <w:i/>
          <w:sz w:val="20"/>
          <w:szCs w:val="20"/>
        </w:rPr>
        <w:t xml:space="preserve">La Nouvelle Jeunesse </w:t>
      </w:r>
      <w:r w:rsidRPr="00A847EE">
        <w:rPr>
          <w:rFonts w:ascii="Garamond" w:eastAsia="KaiTi" w:hAnsi="Garamond" w:cs="Times New Roman"/>
          <w:sz w:val="20"/>
          <w:szCs w:val="20"/>
        </w:rPr>
        <w:t xml:space="preserve">et le problème de la culture chinoise », </w:t>
      </w:r>
      <w:proofErr w:type="spellStart"/>
      <w:r w:rsidRPr="00A847EE">
        <w:rPr>
          <w:rFonts w:ascii="Garamond" w:eastAsia="KaiTi" w:hAnsi="Garamond" w:cs="Times New Roman"/>
          <w:i/>
          <w:sz w:val="20"/>
          <w:szCs w:val="20"/>
        </w:rPr>
        <w:t>Oriens</w:t>
      </w:r>
      <w:proofErr w:type="spellEnd"/>
      <w:r w:rsidRPr="00A847EE">
        <w:rPr>
          <w:rFonts w:ascii="Garamond" w:eastAsia="KaiTi" w:hAnsi="Garamond" w:cs="Times New Roman"/>
          <w:i/>
          <w:sz w:val="20"/>
          <w:szCs w:val="20"/>
        </w:rPr>
        <w:t xml:space="preserve"> </w:t>
      </w:r>
      <w:proofErr w:type="spellStart"/>
      <w:r w:rsidRPr="00A847EE">
        <w:rPr>
          <w:rFonts w:ascii="Garamond" w:eastAsia="KaiTi" w:hAnsi="Garamond" w:cs="Times New Roman"/>
          <w:i/>
          <w:sz w:val="20"/>
          <w:szCs w:val="20"/>
        </w:rPr>
        <w:t>Extremus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, n°54, 2015, pp. 23-57.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Available at </w:t>
      </w:r>
      <w:hyperlink r:id="rId8" w:history="1">
        <w:r w:rsidRPr="00A847EE">
          <w:rPr>
            <w:rStyle w:val="Lienhypertexte"/>
            <w:rFonts w:ascii="Garamond" w:eastAsia="KaiTi" w:hAnsi="Garamond" w:cs="Times New Roman"/>
            <w:sz w:val="20"/>
            <w:szCs w:val="20"/>
            <w:lang w:val="en-US"/>
          </w:rPr>
          <w:t>http://oriens-extremus.org/wp-content/uploads/2017/11/OE-54-2.pdf</w:t>
        </w:r>
      </w:hyperlink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</w:t>
      </w:r>
    </w:p>
    <w:p w14:paraId="3B9C49E5" w14:textId="77777777" w:rsidR="00952BB5" w:rsidRPr="006306C1" w:rsidRDefault="00952BB5" w:rsidP="00952BB5">
      <w:pPr>
        <w:pStyle w:val="Sansinterligne"/>
        <w:spacing w:line="360" w:lineRule="auto"/>
        <w:ind w:left="567" w:hanging="567"/>
        <w:jc w:val="both"/>
        <w:rPr>
          <w:rFonts w:ascii="Garamond" w:eastAsia="KaiTi" w:hAnsi="Garamond" w:cs="Times New Roman"/>
          <w:color w:val="auto"/>
          <w:sz w:val="20"/>
          <w:szCs w:val="20"/>
        </w:rPr>
      </w:pPr>
      <w:r w:rsidRPr="006306C1">
        <w:rPr>
          <w:rFonts w:ascii="Garamond" w:eastAsia="KaiTi" w:hAnsi="Garamond" w:cs="Times New Roman"/>
          <w:smallCaps/>
          <w:color w:val="auto"/>
          <w:sz w:val="20"/>
          <w:szCs w:val="20"/>
        </w:rPr>
        <w:t>Ciaudo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 Joseph, « Zhang Junmai / </w:t>
      </w:r>
      <w:proofErr w:type="spellStart"/>
      <w:r w:rsidRPr="006306C1">
        <w:rPr>
          <w:rFonts w:ascii="Garamond" w:eastAsia="KaiTi" w:hAnsi="Garamond" w:cs="Times New Roman"/>
          <w:color w:val="auto"/>
          <w:sz w:val="20"/>
          <w:szCs w:val="20"/>
        </w:rPr>
        <w:t>Carsun</w:t>
      </w:r>
      <w:proofErr w:type="spellEnd"/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 Chang » 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sym w:font="Symbol" w:char="F05B"/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>online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sym w:font="Symbol" w:char="F05D"/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, </w:t>
      </w:r>
      <w:r w:rsidRPr="006306C1">
        <w:rPr>
          <w:rFonts w:ascii="Garamond" w:eastAsia="KaiTi" w:hAnsi="Garamond" w:cs="Times New Roman"/>
          <w:i/>
          <w:color w:val="auto"/>
          <w:sz w:val="20"/>
          <w:szCs w:val="20"/>
        </w:rPr>
        <w:t>Internet Encyclopedia of Philosophy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>, Website publishing peer-reviewed articles, 2014, &lt;</w:t>
      </w:r>
      <w:hyperlink r:id="rId9" w:history="1">
        <w:r w:rsidRPr="006306C1">
          <w:rPr>
            <w:rStyle w:val="Lienhypertexte"/>
            <w:rFonts w:ascii="Garamond" w:eastAsia="KaiTi" w:hAnsi="Garamond" w:cs="Times New Roman"/>
            <w:color w:val="auto"/>
            <w:sz w:val="20"/>
            <w:szCs w:val="20"/>
            <w:u w:color="0000FF"/>
          </w:rPr>
          <w:t>http://www.iep.utm.edu/zhang-ju/</w:t>
        </w:r>
      </w:hyperlink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&gt; </w:t>
      </w:r>
    </w:p>
    <w:p w14:paraId="75CB9A60" w14:textId="77777777" w:rsidR="00952BB5" w:rsidRPr="006306C1" w:rsidRDefault="00952BB5" w:rsidP="00952BB5">
      <w:pPr>
        <w:pStyle w:val="Sansinterligne"/>
        <w:spacing w:line="360" w:lineRule="auto"/>
        <w:ind w:left="567" w:hanging="567"/>
        <w:jc w:val="both"/>
        <w:rPr>
          <w:rFonts w:ascii="Garamond" w:eastAsia="KaiTi" w:hAnsi="Garamond" w:cs="Times New Roman"/>
          <w:color w:val="auto"/>
          <w:sz w:val="20"/>
          <w:szCs w:val="20"/>
        </w:rPr>
      </w:pPr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Ciaudo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 Joseph, « Introduction à la métaphysique bergsonienne en Chine : échos philosophiques et moralisation de l’intuition », </w:t>
      </w:r>
      <w:proofErr w:type="spellStart"/>
      <w:r w:rsidRPr="00F909DF">
        <w:rPr>
          <w:rFonts w:ascii="Garamond" w:eastAsia="KaiTi" w:hAnsi="Garamond" w:cs="Times New Roman"/>
          <w:i/>
          <w:color w:val="auto"/>
          <w:sz w:val="20"/>
          <w:szCs w:val="20"/>
          <w:lang w:val="fr-FR"/>
        </w:rPr>
        <w:t>Noesis</w:t>
      </w:r>
      <w:proofErr w:type="spellEnd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, « Numéro spécial : la traduction philosophique », 2013, n°22, pp. 293-328. 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Available at </w:t>
      </w:r>
      <w:hyperlink r:id="rId10" w:history="1">
        <w:r w:rsidRPr="006306C1">
          <w:rPr>
            <w:rStyle w:val="Lienhypertexte"/>
            <w:rFonts w:ascii="Garamond" w:eastAsia="KaiTi" w:hAnsi="Garamond" w:cs="Times New Roman"/>
            <w:color w:val="auto"/>
            <w:sz w:val="20"/>
            <w:szCs w:val="20"/>
          </w:rPr>
          <w:t>https://journals.openedition.org/noesis/1867</w:t>
        </w:r>
      </w:hyperlink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 </w:t>
      </w:r>
    </w:p>
    <w:bookmarkEnd w:id="0"/>
    <w:p w14:paraId="1EEE39F5" w14:textId="77777777" w:rsidR="00952BB5" w:rsidRDefault="00952BB5" w:rsidP="00952BB5">
      <w:pPr>
        <w:pStyle w:val="Titre3"/>
        <w:rPr>
          <w:rFonts w:ascii="Garamond" w:eastAsia="KaiTi" w:hAnsi="Garamond"/>
          <w:color w:val="auto"/>
          <w:lang w:val="en-US"/>
        </w:rPr>
      </w:pPr>
      <w:r w:rsidRPr="006306C1">
        <w:rPr>
          <w:rFonts w:ascii="Garamond" w:eastAsia="KaiTi" w:hAnsi="Garamond"/>
          <w:color w:val="auto"/>
          <w:lang w:val="en-US"/>
        </w:rPr>
        <w:t>Peer-Reviewed books/monographs</w:t>
      </w:r>
    </w:p>
    <w:p w14:paraId="343220D4" w14:textId="77777777" w:rsidR="00952BB5" w:rsidRDefault="00952BB5" w:rsidP="00952BB5">
      <w:pPr>
        <w:ind w:left="567" w:hanging="567"/>
        <w:rPr>
          <w:rFonts w:ascii="Garamond" w:hAnsi="Garamond"/>
          <w:sz w:val="20"/>
          <w:szCs w:val="20"/>
          <w:lang w:val="en-US"/>
        </w:rPr>
      </w:pP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</w:t>
      </w:r>
      <w:r w:rsidRPr="00FF4491">
        <w:rPr>
          <w:rFonts w:ascii="Garamond" w:eastAsia="KaiTi" w:hAnsi="Garamond" w:cs="Times New Roman"/>
          <w:sz w:val="20"/>
          <w:szCs w:val="20"/>
          <w:lang w:val="en-US"/>
        </w:rPr>
        <w:t xml:space="preserve">, </w:t>
      </w:r>
      <w:r w:rsidRPr="00FF4491">
        <w:rPr>
          <w:rFonts w:ascii="Garamond" w:hAnsi="Garamond"/>
          <w:i/>
          <w:iCs/>
          <w:sz w:val="20"/>
          <w:szCs w:val="20"/>
          <w:lang w:val="en-US"/>
        </w:rPr>
        <w:t>Confucianist Apologetics in the West: Late Qing Promotion of Confucius and his Civilization to Westerners (1874-1911)</w:t>
      </w:r>
      <w:r>
        <w:rPr>
          <w:rFonts w:ascii="Garamond" w:hAnsi="Garamond"/>
          <w:sz w:val="20"/>
          <w:szCs w:val="20"/>
          <w:lang w:val="en-US"/>
        </w:rPr>
        <w:t xml:space="preserve">, Leiden, Brill, 2021 (To be published). </w:t>
      </w:r>
    </w:p>
    <w:p w14:paraId="7725857A" w14:textId="77777777" w:rsidR="00952BB5" w:rsidRPr="00952BB5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de-DE"/>
        </w:rPr>
      </w:pPr>
      <w:r w:rsidRPr="00F42217">
        <w:rPr>
          <w:rFonts w:ascii="Garamond" w:eastAsia="KaiTi" w:hAnsi="Garamond" w:cs="Times New Roman"/>
          <w:smallCaps/>
          <w:sz w:val="20"/>
          <w:szCs w:val="20"/>
          <w:lang w:val="de-DE"/>
        </w:rPr>
        <w:t>Chang</w:t>
      </w:r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Carsun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, </w:t>
      </w:r>
      <w:proofErr w:type="spellStart"/>
      <w:r w:rsidRPr="00F42217">
        <w:rPr>
          <w:rFonts w:ascii="Garamond" w:eastAsia="KaiTi" w:hAnsi="Garamond" w:cs="Times New Roman"/>
          <w:smallCaps/>
          <w:sz w:val="20"/>
          <w:szCs w:val="20"/>
          <w:lang w:val="de-DE"/>
        </w:rPr>
        <w:t>Roetz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Heiner (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ed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.), &amp; </w:t>
      </w:r>
      <w:r w:rsidRPr="00F42217">
        <w:rPr>
          <w:rFonts w:ascii="Garamond" w:eastAsia="KaiTi" w:hAnsi="Garamond" w:cs="Times New Roman"/>
          <w:smallCaps/>
          <w:sz w:val="20"/>
          <w:szCs w:val="20"/>
          <w:lang w:val="de-DE"/>
        </w:rPr>
        <w:t>Ciaudo</w:t>
      </w:r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Joseph (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ed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.), </w:t>
      </w:r>
      <w:r w:rsidRPr="00F42217">
        <w:rPr>
          <w:rFonts w:ascii="Garamond" w:eastAsia="KaiTi" w:hAnsi="Garamond" w:cs="Times New Roman"/>
          <w:i/>
          <w:sz w:val="20"/>
          <w:szCs w:val="20"/>
          <w:lang w:val="de-DE"/>
        </w:rPr>
        <w:t xml:space="preserve">Geschichte der Neokonfuzianischen Philosophie vom 10. </w:t>
      </w:r>
      <w:r w:rsidRPr="00952BB5">
        <w:rPr>
          <w:rFonts w:ascii="Garamond" w:eastAsia="KaiTi" w:hAnsi="Garamond" w:cs="Times New Roman"/>
          <w:i/>
          <w:sz w:val="20"/>
          <w:szCs w:val="20"/>
          <w:lang w:val="de-DE"/>
        </w:rPr>
        <w:t>Jahrhundert bis zur Mitte des 19. Jahrhunderts</w:t>
      </w:r>
      <w:r w:rsidRPr="00952BB5">
        <w:rPr>
          <w:rFonts w:ascii="Garamond" w:eastAsia="KaiTi" w:hAnsi="Garamond" w:cs="Times New Roman"/>
          <w:sz w:val="20"/>
          <w:szCs w:val="20"/>
          <w:lang w:val="de-DE"/>
        </w:rPr>
        <w:t>, Frankfurt, Main Klostermann, 2016.</w:t>
      </w:r>
    </w:p>
    <w:p w14:paraId="757E94A7" w14:textId="77777777" w:rsidR="00952BB5" w:rsidRPr="00952BB5" w:rsidRDefault="00952BB5" w:rsidP="00952BB5">
      <w:pPr>
        <w:pStyle w:val="Titre3"/>
        <w:rPr>
          <w:rFonts w:ascii="Garamond" w:eastAsia="KaiTi" w:hAnsi="Garamond"/>
          <w:color w:val="auto"/>
          <w:lang w:val="de-DE"/>
        </w:rPr>
      </w:pPr>
      <w:r w:rsidRPr="00952BB5">
        <w:rPr>
          <w:rFonts w:ascii="Garamond" w:eastAsia="KaiTi" w:hAnsi="Garamond"/>
          <w:color w:val="auto"/>
          <w:lang w:val="de-DE"/>
        </w:rPr>
        <w:t>Peer-</w:t>
      </w:r>
      <w:proofErr w:type="spellStart"/>
      <w:r w:rsidRPr="00952BB5">
        <w:rPr>
          <w:rFonts w:ascii="Garamond" w:eastAsia="KaiTi" w:hAnsi="Garamond"/>
          <w:color w:val="auto"/>
          <w:lang w:val="de-DE"/>
        </w:rPr>
        <w:t>reviewed</w:t>
      </w:r>
      <w:proofErr w:type="spellEnd"/>
      <w:r w:rsidRPr="00952BB5">
        <w:rPr>
          <w:rFonts w:ascii="Garamond" w:eastAsia="KaiTi" w:hAnsi="Garamond"/>
          <w:color w:val="auto"/>
          <w:lang w:val="de-DE"/>
        </w:rPr>
        <w:t xml:space="preserve"> </w:t>
      </w:r>
      <w:proofErr w:type="spellStart"/>
      <w:r w:rsidRPr="00952BB5">
        <w:rPr>
          <w:rFonts w:ascii="Garamond" w:eastAsia="KaiTi" w:hAnsi="Garamond"/>
          <w:color w:val="auto"/>
          <w:lang w:val="de-DE"/>
        </w:rPr>
        <w:t>conference</w:t>
      </w:r>
      <w:proofErr w:type="spellEnd"/>
      <w:r w:rsidRPr="00952BB5">
        <w:rPr>
          <w:rFonts w:ascii="Garamond" w:eastAsia="KaiTi" w:hAnsi="Garamond"/>
          <w:color w:val="auto"/>
          <w:lang w:val="de-DE"/>
        </w:rPr>
        <w:t xml:space="preserve"> </w:t>
      </w:r>
      <w:proofErr w:type="spellStart"/>
      <w:r w:rsidRPr="00952BB5">
        <w:rPr>
          <w:rFonts w:ascii="Garamond" w:eastAsia="KaiTi" w:hAnsi="Garamond"/>
          <w:color w:val="auto"/>
          <w:lang w:val="de-DE"/>
        </w:rPr>
        <w:t>proceedings</w:t>
      </w:r>
      <w:proofErr w:type="spellEnd"/>
    </w:p>
    <w:p w14:paraId="1419BAD7" w14:textId="77777777" w:rsidR="00952BB5" w:rsidRPr="00F909DF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</w:rPr>
      </w:pPr>
      <w:r w:rsidRPr="00F909DF">
        <w:rPr>
          <w:rFonts w:ascii="Garamond" w:eastAsia="KaiTi" w:hAnsi="Garamond" w:cs="Times New Roman"/>
          <w:smallCaps/>
          <w:sz w:val="20"/>
          <w:szCs w:val="20"/>
        </w:rPr>
        <w:t>Ciaudo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 Joseph, « 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Gu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Hongming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, traducteur des </w:t>
      </w:r>
      <w:r w:rsidRPr="00F909DF">
        <w:rPr>
          <w:rFonts w:ascii="Garamond" w:eastAsia="KaiTi" w:hAnsi="Garamond" w:cs="Times New Roman"/>
          <w:i/>
          <w:iCs/>
          <w:sz w:val="20"/>
          <w:szCs w:val="20"/>
        </w:rPr>
        <w:t xml:space="preserve">Entretiens 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de Confucius : Anxiété identitaire et prosélytisme confucianiste », in </w:t>
      </w:r>
      <w:proofErr w:type="spellStart"/>
      <w:r w:rsidRPr="00F909DF">
        <w:rPr>
          <w:rFonts w:ascii="Garamond" w:eastAsia="KaiTi" w:hAnsi="Garamond" w:cs="Times New Roman"/>
          <w:smallCaps/>
          <w:sz w:val="20"/>
          <w:szCs w:val="20"/>
        </w:rPr>
        <w:t>Zurbach</w:t>
      </w:r>
      <w:proofErr w:type="spellEnd"/>
      <w:r w:rsidRPr="00F909DF">
        <w:rPr>
          <w:rFonts w:ascii="Garamond" w:eastAsia="KaiTi" w:hAnsi="Garamond" w:cs="Times New Roman"/>
          <w:smallCaps/>
          <w:sz w:val="20"/>
          <w:szCs w:val="20"/>
        </w:rPr>
        <w:t xml:space="preserve"> 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Julien, </w:t>
      </w:r>
      <w:r w:rsidRPr="00F909DF">
        <w:rPr>
          <w:rFonts w:ascii="Garamond" w:eastAsia="KaiTi" w:hAnsi="Garamond" w:cs="Times New Roman"/>
          <w:smallCaps/>
          <w:sz w:val="20"/>
          <w:szCs w:val="20"/>
        </w:rPr>
        <w:t xml:space="preserve">Xie 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Jing, &amp; </w:t>
      </w:r>
      <w:r w:rsidRPr="00F909DF">
        <w:rPr>
          <w:rFonts w:ascii="Garamond" w:eastAsia="KaiTi" w:hAnsi="Garamond" w:cs="Times New Roman"/>
          <w:smallCaps/>
          <w:sz w:val="20"/>
          <w:szCs w:val="20"/>
        </w:rPr>
        <w:t>Lefebvre R</w:t>
      </w:r>
      <w:r w:rsidRPr="00F909DF">
        <w:rPr>
          <w:rFonts w:ascii="Garamond" w:eastAsia="KaiTi" w:hAnsi="Garamond" w:cs="Times New Roman"/>
          <w:sz w:val="20"/>
          <w:szCs w:val="20"/>
        </w:rPr>
        <w:t>omain (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ed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.), </w:t>
      </w:r>
      <w:r w:rsidRPr="00F909DF">
        <w:rPr>
          <w:rFonts w:ascii="Garamond" w:eastAsia="KaiTi" w:hAnsi="Garamond" w:cs="Times New Roman"/>
          <w:i/>
          <w:iCs/>
          <w:sz w:val="20"/>
          <w:szCs w:val="20"/>
        </w:rPr>
        <w:t>Actes du colloque « Passés croisés, passés composés, perspectives à partir des classiques</w:t>
      </w:r>
      <w:r w:rsidRPr="00F909DF">
        <w:rPr>
          <w:rFonts w:ascii="Garamond" w:eastAsia="KaiTi" w:hAnsi="Garamond" w:cs="Times New Roman"/>
          <w:sz w:val="20"/>
          <w:szCs w:val="20"/>
        </w:rPr>
        <w:t>, Paris, Editions de la Rue d’Ulm, 2020 (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accepted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>).</w:t>
      </w:r>
    </w:p>
    <w:p w14:paraId="3A217A6F" w14:textId="77777777" w:rsidR="00952BB5" w:rsidRPr="00A847EE" w:rsidRDefault="00952BB5" w:rsidP="00952BB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</w:rPr>
      </w:pPr>
      <w:bookmarkStart w:id="1" w:name="_Hlk20475264"/>
      <w:r w:rsidRPr="00F909DF">
        <w:rPr>
          <w:rFonts w:ascii="Garamond" w:eastAsia="KaiTi" w:hAnsi="Garamond" w:cs="Times New Roman"/>
          <w:smallCaps/>
          <w:sz w:val="20"/>
          <w:szCs w:val="20"/>
        </w:rPr>
        <w:t>Ciaudo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 Joseph, « 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Chinese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discussions about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Indian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culture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around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the May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Fourth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</w:t>
      </w:r>
      <w:proofErr w:type="spellStart"/>
      <w:proofErr w:type="gramStart"/>
      <w:r w:rsidRPr="00F909DF">
        <w:rPr>
          <w:rFonts w:ascii="Garamond" w:eastAsia="KaiTi" w:hAnsi="Garamond" w:cs="Times New Roman"/>
          <w:sz w:val="20"/>
          <w:szCs w:val="20"/>
        </w:rPr>
        <w:t>Era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>:</w:t>
      </w:r>
      <w:proofErr w:type="gramEnd"/>
      <w:r w:rsidRPr="00F909DF">
        <w:rPr>
          <w:rFonts w:ascii="Garamond" w:eastAsia="KaiTi" w:hAnsi="Garamond" w:cs="Times New Roman"/>
          <w:sz w:val="20"/>
          <w:szCs w:val="20"/>
        </w:rPr>
        <w:t xml:space="preserve">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Some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remarks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on a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conceptual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 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aporia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», in </w:t>
      </w:r>
      <w:r w:rsidRPr="00F909DF">
        <w:rPr>
          <w:rFonts w:ascii="Garamond" w:eastAsia="KaiTi" w:hAnsi="Garamond" w:cs="Times New Roman"/>
          <w:smallCaps/>
          <w:sz w:val="20"/>
          <w:szCs w:val="20"/>
        </w:rPr>
        <w:t xml:space="preserve">Cheng </w:t>
      </w:r>
      <w:r w:rsidRPr="00F909DF">
        <w:rPr>
          <w:rFonts w:ascii="Garamond" w:eastAsia="KaiTi" w:hAnsi="Garamond" w:cs="Times New Roman"/>
          <w:sz w:val="20"/>
          <w:szCs w:val="20"/>
        </w:rPr>
        <w:t>Anne (</w:t>
      </w:r>
      <w:proofErr w:type="spellStart"/>
      <w:r w:rsidRPr="00F909DF">
        <w:rPr>
          <w:rFonts w:ascii="Garamond" w:eastAsia="KaiTi" w:hAnsi="Garamond" w:cs="Times New Roman"/>
          <w:sz w:val="20"/>
          <w:szCs w:val="20"/>
        </w:rPr>
        <w:t>dir</w:t>
      </w:r>
      <w:proofErr w:type="spellEnd"/>
      <w:r w:rsidRPr="00F909DF">
        <w:rPr>
          <w:rFonts w:ascii="Garamond" w:eastAsia="KaiTi" w:hAnsi="Garamond" w:cs="Times New Roman"/>
          <w:sz w:val="20"/>
          <w:szCs w:val="20"/>
        </w:rPr>
        <w:t xml:space="preserve">.), </w:t>
      </w:r>
      <w:r w:rsidRPr="00F909DF">
        <w:rPr>
          <w:rFonts w:ascii="Garamond" w:eastAsia="KaiTi" w:hAnsi="Garamond" w:cs="Times New Roman"/>
          <w:i/>
          <w:sz w:val="20"/>
          <w:szCs w:val="20"/>
        </w:rPr>
        <w:t>Inde-Chine : Universalités croisées</w:t>
      </w:r>
      <w:r w:rsidRPr="00F909DF">
        <w:rPr>
          <w:rFonts w:ascii="Garamond" w:eastAsia="KaiTi" w:hAnsi="Garamond" w:cs="Times New Roman"/>
          <w:sz w:val="20"/>
          <w:szCs w:val="20"/>
        </w:rPr>
        <w:t xml:space="preserve">, Paris, Collège de France, 2020. </w:t>
      </w:r>
      <w:r w:rsidRPr="00A847EE">
        <w:rPr>
          <w:rFonts w:ascii="Garamond" w:eastAsia="KaiTi" w:hAnsi="Garamond" w:cs="Times New Roman"/>
          <w:sz w:val="20"/>
          <w:szCs w:val="20"/>
        </w:rPr>
        <w:t xml:space="preserve">Online </w:t>
      </w:r>
      <w:proofErr w:type="gramStart"/>
      <w:r w:rsidRPr="00A847EE">
        <w:rPr>
          <w:rFonts w:ascii="Garamond" w:eastAsia="KaiTi" w:hAnsi="Garamond" w:cs="Times New Roman"/>
          <w:sz w:val="20"/>
          <w:szCs w:val="20"/>
        </w:rPr>
        <w:t>publication:</w:t>
      </w:r>
      <w:proofErr w:type="gramEnd"/>
      <w:r w:rsidRPr="00454505">
        <w:t xml:space="preserve"> </w:t>
      </w:r>
      <w:hyperlink r:id="rId11" w:history="1">
        <w:r w:rsidRPr="00A847EE">
          <w:rPr>
            <w:rStyle w:val="Lienhypertexte"/>
            <w:rFonts w:ascii="Garamond" w:eastAsia="KaiTi" w:hAnsi="Garamond" w:cs="Times New Roman"/>
            <w:sz w:val="20"/>
            <w:szCs w:val="20"/>
          </w:rPr>
          <w:t>https://books.openedition.org/cdf/7576</w:t>
        </w:r>
      </w:hyperlink>
      <w:r w:rsidRPr="00A847EE">
        <w:rPr>
          <w:rFonts w:ascii="Garamond" w:eastAsia="KaiTi" w:hAnsi="Garamond" w:cs="Times New Roman"/>
          <w:sz w:val="20"/>
          <w:szCs w:val="20"/>
        </w:rPr>
        <w:t xml:space="preserve">  </w:t>
      </w:r>
    </w:p>
    <w:p w14:paraId="3162D43C" w14:textId="77777777" w:rsidR="00952BB5" w:rsidRPr="00F909DF" w:rsidRDefault="00952BB5" w:rsidP="00952BB5">
      <w:pPr>
        <w:pStyle w:val="Sansinterligne"/>
        <w:spacing w:line="360" w:lineRule="auto"/>
        <w:ind w:left="567" w:hanging="567"/>
        <w:jc w:val="both"/>
        <w:rPr>
          <w:rFonts w:ascii="Garamond" w:eastAsia="KaiTi" w:hAnsi="Garamond" w:cs="Times New Roman"/>
          <w:bCs/>
          <w:color w:val="auto"/>
          <w:sz w:val="20"/>
          <w:szCs w:val="20"/>
          <w:lang w:val="fr-FR"/>
        </w:rPr>
      </w:pPr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Ciaudo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 Joseph, « Quand le philosophe devient lettré : les traductions chinoises de Bergson ou le devenir confucéen d’une philosophie », in </w:t>
      </w:r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Béchard-</w:t>
      </w:r>
      <w:proofErr w:type="spellStart"/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Leauté</w:t>
      </w:r>
      <w:proofErr w:type="spellEnd"/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 xml:space="preserve"> 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Anne (</w:t>
      </w:r>
      <w:proofErr w:type="spellStart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dir</w:t>
      </w:r>
      <w:proofErr w:type="spellEnd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.), </w:t>
      </w:r>
      <w:r w:rsidRPr="00F909DF">
        <w:rPr>
          <w:rFonts w:ascii="Garamond" w:eastAsia="KaiTi" w:hAnsi="Garamond" w:cs="Times New Roman"/>
          <w:i/>
          <w:color w:val="auto"/>
          <w:sz w:val="20"/>
          <w:szCs w:val="20"/>
          <w:lang w:val="fr-FR"/>
        </w:rPr>
        <w:t>La traduction comme source de création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, Les Cahiers d’</w:t>
      </w:r>
      <w:proofErr w:type="spellStart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Allhis</w:t>
      </w:r>
      <w:proofErr w:type="spellEnd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 n°5, Neuville-sur Saône, </w:t>
      </w:r>
      <w:r w:rsidRPr="00F909DF">
        <w:rPr>
          <w:rFonts w:ascii="Garamond" w:eastAsia="KaiTi" w:hAnsi="Garamond" w:cs="Times New Roman"/>
          <w:bCs/>
          <w:color w:val="auto"/>
          <w:sz w:val="20"/>
          <w:szCs w:val="20"/>
          <w:lang w:val="fr-FR"/>
        </w:rPr>
        <w:t xml:space="preserve">Éditions Chemins de </w:t>
      </w:r>
      <w:proofErr w:type="spellStart"/>
      <w:r w:rsidRPr="00F909DF">
        <w:rPr>
          <w:rFonts w:ascii="Garamond" w:eastAsia="KaiTi" w:hAnsi="Garamond" w:cs="Times New Roman"/>
          <w:bCs/>
          <w:color w:val="auto"/>
          <w:sz w:val="20"/>
          <w:szCs w:val="20"/>
          <w:lang w:val="fr-FR"/>
        </w:rPr>
        <w:t>tr@verse</w:t>
      </w:r>
      <w:proofErr w:type="spellEnd"/>
      <w:r w:rsidRPr="00F909DF">
        <w:rPr>
          <w:rFonts w:ascii="Garamond" w:eastAsia="KaiTi" w:hAnsi="Garamond" w:cs="Times New Roman"/>
          <w:bCs/>
          <w:color w:val="auto"/>
          <w:sz w:val="20"/>
          <w:szCs w:val="20"/>
          <w:lang w:val="fr-FR"/>
        </w:rPr>
        <w:t>, 2018, pp. 63-74.</w:t>
      </w:r>
    </w:p>
    <w:p w14:paraId="3774C875" w14:textId="77777777" w:rsidR="00952BB5" w:rsidRPr="006306C1" w:rsidRDefault="00952BB5" w:rsidP="00952BB5">
      <w:pPr>
        <w:pStyle w:val="Sansinterligne"/>
        <w:spacing w:line="360" w:lineRule="auto"/>
        <w:ind w:left="567" w:hanging="567"/>
        <w:jc w:val="both"/>
        <w:rPr>
          <w:rFonts w:ascii="Garamond" w:eastAsia="KaiTi" w:hAnsi="Garamond" w:cs="Times New Roman"/>
          <w:color w:val="auto"/>
          <w:sz w:val="20"/>
          <w:szCs w:val="20"/>
        </w:rPr>
      </w:pPr>
      <w:r w:rsidRPr="006306C1">
        <w:rPr>
          <w:rFonts w:ascii="Garamond" w:eastAsia="KaiTi" w:hAnsi="Garamond" w:cs="Times New Roman"/>
          <w:smallCaps/>
          <w:color w:val="auto"/>
          <w:sz w:val="20"/>
          <w:szCs w:val="20"/>
        </w:rPr>
        <w:t>Ciaudo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 Joseph, « Philosophizing on Culture in China at the Beginning of the Decade of 1920 », in </w:t>
      </w:r>
      <w:proofErr w:type="spellStart"/>
      <w:r w:rsidRPr="006306C1">
        <w:rPr>
          <w:rFonts w:ascii="Garamond" w:eastAsia="KaiTi" w:hAnsi="Garamond" w:cs="Times New Roman"/>
          <w:smallCaps/>
          <w:color w:val="auto"/>
          <w:sz w:val="20"/>
          <w:szCs w:val="20"/>
        </w:rPr>
        <w:t>Voudoures</w:t>
      </w:r>
      <w:proofErr w:type="spellEnd"/>
      <w:r w:rsidRPr="006306C1">
        <w:rPr>
          <w:rFonts w:ascii="Garamond" w:eastAsia="KaiTi" w:hAnsi="Garamond" w:cs="Times New Roman"/>
          <w:smallCaps/>
          <w:color w:val="auto"/>
          <w:sz w:val="20"/>
          <w:szCs w:val="20"/>
        </w:rPr>
        <w:t xml:space="preserve"> 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Konstantinos </w:t>
      </w:r>
      <w:proofErr w:type="spellStart"/>
      <w:r w:rsidRPr="006306C1">
        <w:rPr>
          <w:rFonts w:ascii="Garamond" w:eastAsia="KaiTi" w:hAnsi="Garamond" w:cs="Times New Roman"/>
          <w:color w:val="auto"/>
          <w:sz w:val="20"/>
          <w:szCs w:val="20"/>
        </w:rPr>
        <w:t>Ioannou</w:t>
      </w:r>
      <w:proofErr w:type="spellEnd"/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 (ed.), </w:t>
      </w:r>
      <w:r w:rsidRPr="006306C1">
        <w:rPr>
          <w:rFonts w:ascii="Garamond" w:eastAsia="KaiTi" w:hAnsi="Garamond" w:cs="Times New Roman"/>
          <w:i/>
          <w:color w:val="auto"/>
          <w:sz w:val="20"/>
          <w:szCs w:val="20"/>
        </w:rPr>
        <w:t>Proceedings of the XXIII World Congress of Philosophy</w:t>
      </w:r>
      <w:r w:rsidRPr="006306C1">
        <w:rPr>
          <w:rFonts w:ascii="Garamond" w:eastAsia="KaiTi" w:hAnsi="Garamond" w:cs="Times New Roman"/>
          <w:color w:val="auto"/>
          <w:sz w:val="20"/>
          <w:szCs w:val="20"/>
        </w:rPr>
        <w:t xml:space="preserve">, Athens, Greek Philosophical Society, 2018, vol. 47, pp. 7-12. </w:t>
      </w:r>
    </w:p>
    <w:p w14:paraId="163AEEFF" w14:textId="77777777" w:rsidR="00952BB5" w:rsidRPr="00A847EE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</w:rPr>
      </w:pPr>
      <w:r w:rsidRPr="00A847EE">
        <w:rPr>
          <w:rFonts w:ascii="Garamond" w:eastAsia="KaiTi" w:hAnsi="Garamond" w:cs="Times New Roman"/>
          <w:smallCaps/>
          <w:sz w:val="20"/>
          <w:szCs w:val="20"/>
        </w:rPr>
        <w:t>Ciaudo</w:t>
      </w:r>
      <w:r w:rsidRPr="00A847EE">
        <w:rPr>
          <w:rFonts w:ascii="Garamond" w:eastAsia="KaiTi" w:hAnsi="Garamond" w:cs="Times New Roman"/>
          <w:sz w:val="20"/>
          <w:szCs w:val="20"/>
        </w:rPr>
        <w:t xml:space="preserve"> Joseph, « Défendre un passé, construire un </w:t>
      </w:r>
      <w:proofErr w:type="gramStart"/>
      <w:r w:rsidRPr="00A847EE">
        <w:rPr>
          <w:rFonts w:ascii="Garamond" w:eastAsia="KaiTi" w:hAnsi="Garamond" w:cs="Times New Roman"/>
          <w:sz w:val="20"/>
          <w:szCs w:val="20"/>
        </w:rPr>
        <w:t>avenir:</w:t>
      </w:r>
      <w:proofErr w:type="gramEnd"/>
      <w:r w:rsidRPr="00A847EE">
        <w:rPr>
          <w:rFonts w:ascii="Garamond" w:eastAsia="KaiTi" w:hAnsi="Garamond" w:cs="Times New Roman"/>
          <w:sz w:val="20"/>
          <w:szCs w:val="20"/>
        </w:rPr>
        <w:t xml:space="preserve"> La culture en débat dans la Chine des années vingt », in 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Fries-</w:t>
      </w:r>
      <w:proofErr w:type="spellStart"/>
      <w:r w:rsidRPr="00A847EE">
        <w:rPr>
          <w:rFonts w:ascii="Garamond" w:eastAsia="KaiTi" w:hAnsi="Garamond" w:cs="Times New Roman"/>
          <w:smallCaps/>
          <w:sz w:val="20"/>
          <w:szCs w:val="20"/>
        </w:rPr>
        <w:t>Paoila</w:t>
      </w:r>
      <w:proofErr w:type="spellEnd"/>
      <w:r w:rsidRPr="00A847EE">
        <w:rPr>
          <w:rFonts w:ascii="Garamond" w:eastAsia="KaiTi" w:hAnsi="Garamond" w:cs="Times New Roman"/>
          <w:smallCaps/>
          <w:sz w:val="20"/>
          <w:szCs w:val="20"/>
        </w:rPr>
        <w:t xml:space="preserve"> </w:t>
      </w:r>
      <w:r w:rsidRPr="00A847EE">
        <w:rPr>
          <w:rFonts w:ascii="Garamond" w:eastAsia="KaiTi" w:hAnsi="Garamond" w:cs="Times New Roman"/>
          <w:sz w:val="20"/>
          <w:szCs w:val="20"/>
        </w:rPr>
        <w:t>C., G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othuey</w:t>
      </w:r>
      <w:r w:rsidRPr="00A847EE">
        <w:rPr>
          <w:rFonts w:ascii="Garamond" w:eastAsia="KaiTi" w:hAnsi="Garamond" w:cs="Times New Roman"/>
          <w:sz w:val="20"/>
          <w:szCs w:val="20"/>
        </w:rPr>
        <w:t xml:space="preserve"> J., K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essler-</w:t>
      </w:r>
      <w:proofErr w:type="spellStart"/>
      <w:r w:rsidRPr="00A847EE">
        <w:rPr>
          <w:rFonts w:ascii="Garamond" w:eastAsia="KaiTi" w:hAnsi="Garamond" w:cs="Times New Roman"/>
          <w:sz w:val="20"/>
          <w:szCs w:val="20"/>
        </w:rPr>
        <w:t>B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ilthauer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 D., </w:t>
      </w:r>
      <w:proofErr w:type="spellStart"/>
      <w:r w:rsidRPr="00A847EE">
        <w:rPr>
          <w:rFonts w:ascii="Garamond" w:eastAsia="KaiTi" w:hAnsi="Garamond" w:cs="Times New Roman"/>
          <w:sz w:val="20"/>
          <w:szCs w:val="20"/>
        </w:rPr>
        <w:t>P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anisset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 T., &amp; </w:t>
      </w:r>
      <w:proofErr w:type="spellStart"/>
      <w:r w:rsidRPr="00A847EE">
        <w:rPr>
          <w:rFonts w:ascii="Garamond" w:eastAsia="KaiTi" w:hAnsi="Garamond" w:cs="Times New Roman"/>
          <w:sz w:val="20"/>
          <w:szCs w:val="20"/>
        </w:rPr>
        <w:t>R</w:t>
      </w:r>
      <w:r w:rsidRPr="00A847EE">
        <w:rPr>
          <w:rFonts w:ascii="Garamond" w:eastAsia="KaiTi" w:hAnsi="Garamond" w:cs="Times New Roman"/>
          <w:smallCaps/>
          <w:sz w:val="20"/>
          <w:szCs w:val="20"/>
        </w:rPr>
        <w:t>einert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 E., (</w:t>
      </w:r>
      <w:proofErr w:type="spellStart"/>
      <w:r w:rsidRPr="00A847EE">
        <w:rPr>
          <w:rFonts w:ascii="Garamond" w:eastAsia="KaiTi" w:hAnsi="Garamond" w:cs="Times New Roman"/>
          <w:sz w:val="20"/>
          <w:szCs w:val="20"/>
        </w:rPr>
        <w:t>dir</w:t>
      </w:r>
      <w:proofErr w:type="spellEnd"/>
      <w:r w:rsidRPr="00A847EE">
        <w:rPr>
          <w:rFonts w:ascii="Garamond" w:eastAsia="KaiTi" w:hAnsi="Garamond" w:cs="Times New Roman"/>
          <w:sz w:val="20"/>
          <w:szCs w:val="20"/>
        </w:rPr>
        <w:t xml:space="preserve">.), </w:t>
      </w:r>
      <w:r w:rsidRPr="00A847EE">
        <w:rPr>
          <w:rFonts w:ascii="Garamond" w:eastAsia="KaiTi" w:hAnsi="Garamond" w:cs="Times New Roman"/>
          <w:i/>
          <w:sz w:val="20"/>
          <w:szCs w:val="20"/>
        </w:rPr>
        <w:t xml:space="preserve">Étudier la culture </w:t>
      </w:r>
      <w:r w:rsidRPr="00A847EE">
        <w:rPr>
          <w:rFonts w:ascii="Garamond" w:eastAsia="KaiTi" w:hAnsi="Garamond" w:cs="Times New Roman"/>
          <w:i/>
          <w:sz w:val="20"/>
          <w:szCs w:val="20"/>
        </w:rPr>
        <w:lastRenderedPageBreak/>
        <w:t>aujourd’hui : enjeux identitaires, numériques, artistiques et spatiaux d’un objet de recherche pluriel</w:t>
      </w:r>
      <w:r w:rsidRPr="00A847EE">
        <w:rPr>
          <w:rFonts w:ascii="Garamond" w:eastAsia="KaiTi" w:hAnsi="Garamond" w:cs="Times New Roman"/>
          <w:sz w:val="20"/>
          <w:szCs w:val="20"/>
        </w:rPr>
        <w:t>, Nancy, Presse de l’Université de Nancy / Éditions Universitaires de Lorraine, 2017, pp. 35-52</w:t>
      </w:r>
      <w:bookmarkEnd w:id="1"/>
    </w:p>
    <w:p w14:paraId="6DEF72D8" w14:textId="77777777" w:rsidR="00952BB5" w:rsidRPr="006306C1" w:rsidRDefault="00952BB5" w:rsidP="00952BB5">
      <w:pPr>
        <w:pStyle w:val="Titre3"/>
        <w:rPr>
          <w:rFonts w:ascii="Garamond" w:eastAsia="KaiTi" w:hAnsi="Garamond"/>
          <w:color w:val="auto"/>
          <w:lang w:val="en-US"/>
        </w:rPr>
      </w:pPr>
      <w:r w:rsidRPr="006306C1">
        <w:rPr>
          <w:rFonts w:ascii="Garamond" w:eastAsia="KaiTi" w:hAnsi="Garamond"/>
          <w:color w:val="auto"/>
          <w:lang w:val="en-US"/>
        </w:rPr>
        <w:t>Contributions to books</w:t>
      </w:r>
    </w:p>
    <w:p w14:paraId="1615A9E1" w14:textId="77777777" w:rsidR="00952BB5" w:rsidRPr="006306C1" w:rsidRDefault="00952BB5" w:rsidP="00952BB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en-US"/>
        </w:rPr>
      </w:pPr>
      <w:bookmarkStart w:id="2" w:name="_Hlk20475255"/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Joseph, « Liang the Bergsonian », in </w:t>
      </w:r>
      <w:proofErr w:type="spellStart"/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Meynard</w:t>
      </w:r>
      <w:proofErr w:type="spellEnd"/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 xml:space="preserve">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Thierry &amp; </w:t>
      </w: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 xml:space="preserve">Major 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Philippe, </w:t>
      </w:r>
      <w:r w:rsidRPr="006306C1">
        <w:rPr>
          <w:rFonts w:ascii="Garamond" w:eastAsia="KaiTi" w:hAnsi="Garamond" w:cs="Times New Roman"/>
          <w:i/>
          <w:iCs/>
          <w:sz w:val="20"/>
          <w:szCs w:val="20"/>
          <w:lang w:val="en-US"/>
        </w:rPr>
        <w:t xml:space="preserve">The Dao Companion to Liang </w:t>
      </w:r>
      <w:proofErr w:type="spellStart"/>
      <w:r w:rsidRPr="006306C1">
        <w:rPr>
          <w:rFonts w:ascii="Garamond" w:eastAsia="KaiTi" w:hAnsi="Garamond" w:cs="Times New Roman"/>
          <w:i/>
          <w:iCs/>
          <w:sz w:val="20"/>
          <w:szCs w:val="20"/>
          <w:lang w:val="en-US"/>
        </w:rPr>
        <w:t>Shuming’s</w:t>
      </w:r>
      <w:proofErr w:type="spellEnd"/>
      <w:r w:rsidRPr="006306C1">
        <w:rPr>
          <w:rFonts w:ascii="Garamond" w:eastAsia="KaiTi" w:hAnsi="Garamond" w:cs="Times New Roman"/>
          <w:i/>
          <w:iCs/>
          <w:sz w:val="20"/>
          <w:szCs w:val="20"/>
          <w:lang w:val="en-US"/>
        </w:rPr>
        <w:t xml:space="preserve"> Philosophy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, Singapore, Springer, 2021 (</w:t>
      </w:r>
      <w:r>
        <w:rPr>
          <w:rFonts w:ascii="Garamond" w:eastAsia="KaiTi" w:hAnsi="Garamond" w:cs="Times New Roman"/>
          <w:sz w:val="20"/>
          <w:szCs w:val="20"/>
          <w:lang w:val="en-US"/>
        </w:rPr>
        <w:t>to be published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)</w:t>
      </w:r>
    </w:p>
    <w:p w14:paraId="5822D54F" w14:textId="77777777" w:rsidR="00952BB5" w:rsidRPr="006306C1" w:rsidRDefault="00952BB5" w:rsidP="00952BB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en-US"/>
        </w:rPr>
      </w:pPr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Ciaudo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Joseph, « Renegotiating a civilization of one’s own: the transcultural life-world of a Chinese Minister to the United States in the early twentieth century », in </w:t>
      </w:r>
      <w:proofErr w:type="spellStart"/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Gaupp</w:t>
      </w:r>
      <w:proofErr w:type="spellEnd"/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Lisa and </w:t>
      </w:r>
      <w:proofErr w:type="spellStart"/>
      <w:r w:rsidRPr="006306C1">
        <w:rPr>
          <w:rFonts w:ascii="Garamond" w:eastAsia="KaiTi" w:hAnsi="Garamond" w:cs="Times New Roman"/>
          <w:smallCaps/>
          <w:sz w:val="20"/>
          <w:szCs w:val="20"/>
          <w:lang w:val="en-US"/>
        </w:rPr>
        <w:t>Pelillo-Hestermeyer</w:t>
      </w:r>
      <w:proofErr w:type="spellEnd"/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 Giulia (Eds.), </w:t>
      </w:r>
      <w:r w:rsidRPr="006306C1">
        <w:rPr>
          <w:rFonts w:ascii="Garamond" w:eastAsia="KaiTi" w:hAnsi="Garamond" w:cs="Times New Roman"/>
          <w:i/>
          <w:sz w:val="20"/>
          <w:szCs w:val="20"/>
          <w:lang w:val="en-US"/>
        </w:rPr>
        <w:t>Diversity and Otherness: Transcultural Insights into Norms, Practices, Negotiations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 xml:space="preserve">, Berlin, </w:t>
      </w:r>
      <w:proofErr w:type="spellStart"/>
      <w:r w:rsidRPr="006306C1">
        <w:rPr>
          <w:rFonts w:ascii="Garamond" w:eastAsia="KaiTi" w:hAnsi="Garamond" w:cs="Times New Roman"/>
          <w:sz w:val="20"/>
          <w:szCs w:val="20"/>
          <w:lang w:val="en-US"/>
        </w:rPr>
        <w:t>DeGruyter</w:t>
      </w:r>
      <w:proofErr w:type="spellEnd"/>
      <w:r w:rsidRPr="006306C1">
        <w:rPr>
          <w:rFonts w:ascii="Garamond" w:eastAsia="KaiTi" w:hAnsi="Garamond" w:cs="Times New Roman"/>
          <w:sz w:val="20"/>
          <w:szCs w:val="20"/>
          <w:lang w:val="en-US"/>
        </w:rPr>
        <w:t>, 2020 (</w:t>
      </w:r>
      <w:r>
        <w:rPr>
          <w:rFonts w:ascii="Garamond" w:eastAsia="KaiTi" w:hAnsi="Garamond" w:cs="Times New Roman"/>
          <w:sz w:val="20"/>
          <w:szCs w:val="20"/>
          <w:lang w:val="en-US"/>
        </w:rPr>
        <w:t>to be published</w:t>
      </w:r>
      <w:r w:rsidRPr="006306C1">
        <w:rPr>
          <w:rFonts w:ascii="Garamond" w:eastAsia="KaiTi" w:hAnsi="Garamond" w:cs="Times New Roman"/>
          <w:sz w:val="20"/>
          <w:szCs w:val="20"/>
          <w:lang w:val="en-US"/>
        </w:rPr>
        <w:t>)</w:t>
      </w:r>
    </w:p>
    <w:p w14:paraId="4B5E16DC" w14:textId="77777777" w:rsidR="00952BB5" w:rsidRPr="00F909DF" w:rsidRDefault="00952BB5" w:rsidP="00952BB5">
      <w:pPr>
        <w:pStyle w:val="Sansinterligne"/>
        <w:spacing w:line="360" w:lineRule="auto"/>
        <w:ind w:left="567" w:hanging="567"/>
        <w:jc w:val="both"/>
        <w:rPr>
          <w:rFonts w:ascii="Garamond" w:eastAsia="KaiTi" w:hAnsi="Garamond" w:cs="Times New Roman"/>
          <w:color w:val="auto"/>
          <w:sz w:val="20"/>
          <w:szCs w:val="20"/>
          <w:lang w:val="fr-FR"/>
        </w:rPr>
      </w:pPr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Ciaudo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 Joseph, « Quelle conception de la vie pour la Chine de demain ? Une question centrale dans la philosophie de Zhang </w:t>
      </w:r>
      <w:proofErr w:type="spellStart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Junmai</w:t>
      </w:r>
      <w:proofErr w:type="spellEnd"/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 », in </w:t>
      </w:r>
      <w:r w:rsidRPr="00F909DF">
        <w:rPr>
          <w:rFonts w:ascii="Garamond" w:eastAsia="KaiTi" w:hAnsi="Garamond" w:cs="Times New Roman"/>
          <w:smallCaps/>
          <w:color w:val="auto"/>
          <w:sz w:val="20"/>
          <w:szCs w:val="20"/>
          <w:lang w:val="fr-FR"/>
        </w:rPr>
        <w:t>Pastor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 xml:space="preserve">, Jean-Claude, </w:t>
      </w:r>
      <w:r w:rsidRPr="00F909DF">
        <w:rPr>
          <w:rFonts w:ascii="Garamond" w:eastAsia="KaiTi" w:hAnsi="Garamond" w:cs="Times New Roman"/>
          <w:i/>
          <w:color w:val="auto"/>
          <w:sz w:val="20"/>
          <w:szCs w:val="20"/>
          <w:lang w:val="fr-FR"/>
        </w:rPr>
        <w:t>Grandes heures de la pensée chinoise : De la dynastie Song au XXe siècle</w:t>
      </w:r>
      <w:r w:rsidRPr="00F909DF">
        <w:rPr>
          <w:rFonts w:ascii="Garamond" w:eastAsia="KaiTi" w:hAnsi="Garamond" w:cs="Times New Roman"/>
          <w:color w:val="auto"/>
          <w:sz w:val="20"/>
          <w:szCs w:val="20"/>
          <w:lang w:val="fr-FR"/>
        </w:rPr>
        <w:t>, Paris, Les Indes savantes, 2019, pp. 177-208.</w:t>
      </w:r>
    </w:p>
    <w:p w14:paraId="739FC39F" w14:textId="77777777" w:rsidR="00952BB5" w:rsidRPr="00952BB5" w:rsidRDefault="00952BB5" w:rsidP="00952BB5">
      <w:pPr>
        <w:spacing w:after="0" w:line="360" w:lineRule="auto"/>
        <w:ind w:left="567" w:hanging="567"/>
        <w:jc w:val="both"/>
        <w:rPr>
          <w:rFonts w:ascii="Garamond" w:eastAsia="KaiTi" w:hAnsi="Garamond" w:cs="Times New Roman"/>
          <w:sz w:val="20"/>
          <w:szCs w:val="20"/>
          <w:lang w:val="de-DE"/>
        </w:rPr>
      </w:pPr>
      <w:r w:rsidRPr="00F42217">
        <w:rPr>
          <w:rFonts w:ascii="Garamond" w:eastAsia="KaiTi" w:hAnsi="Garamond" w:cs="Times New Roman"/>
          <w:smallCaps/>
          <w:sz w:val="20"/>
          <w:szCs w:val="20"/>
          <w:lang w:val="de-DE"/>
        </w:rPr>
        <w:t>Ciaudo</w:t>
      </w:r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, Joseph, « Nachwort: Von Geschichte der Neokonfuzianischen Philosophie zu A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development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of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Neoconfucian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thought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: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Carsun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Chang als </w:t>
      </w:r>
      <w:proofErr w:type="spellStart"/>
      <w:r w:rsidRPr="00F42217">
        <w:rPr>
          <w:rFonts w:ascii="Garamond" w:eastAsia="KaiTi" w:hAnsi="Garamond" w:cs="Times New Roman"/>
          <w:sz w:val="20"/>
          <w:szCs w:val="20"/>
          <w:lang w:val="de-DE"/>
        </w:rPr>
        <w:t>Neokonfuzianismushistoriker</w:t>
      </w:r>
      <w:proofErr w:type="spellEnd"/>
      <w:r w:rsidRPr="00F42217">
        <w:rPr>
          <w:rFonts w:ascii="Garamond" w:eastAsia="KaiTi" w:hAnsi="Garamond" w:cs="Times New Roman"/>
          <w:sz w:val="20"/>
          <w:szCs w:val="20"/>
          <w:lang w:val="de-DE"/>
        </w:rPr>
        <w:t xml:space="preserve"> », in </w:t>
      </w:r>
      <w:r w:rsidRPr="00F42217">
        <w:rPr>
          <w:rFonts w:ascii="Garamond" w:eastAsia="KaiTi" w:hAnsi="Garamond" w:cs="Times New Roman"/>
          <w:i/>
          <w:sz w:val="20"/>
          <w:szCs w:val="20"/>
          <w:lang w:val="de-DE"/>
        </w:rPr>
        <w:t xml:space="preserve">Geschichte der Neokonfuzianischen Philosophie vom 10. </w:t>
      </w:r>
      <w:r w:rsidRPr="00952BB5">
        <w:rPr>
          <w:rFonts w:ascii="Garamond" w:eastAsia="KaiTi" w:hAnsi="Garamond" w:cs="Times New Roman"/>
          <w:i/>
          <w:sz w:val="20"/>
          <w:szCs w:val="20"/>
          <w:lang w:val="de-DE"/>
        </w:rPr>
        <w:t>Jahrhundert bis zur Mitte des 19. Jahrhunderts</w:t>
      </w:r>
      <w:r w:rsidRPr="00952BB5">
        <w:rPr>
          <w:rFonts w:ascii="Garamond" w:eastAsia="KaiTi" w:hAnsi="Garamond" w:cs="Times New Roman"/>
          <w:sz w:val="20"/>
          <w:szCs w:val="20"/>
          <w:lang w:val="de-DE"/>
        </w:rPr>
        <w:t>, Frankfurt: Main Klostermann, 2016, pp. 395-409.</w:t>
      </w:r>
    </w:p>
    <w:bookmarkEnd w:id="2"/>
    <w:p w14:paraId="2D1B6AC9" w14:textId="77777777" w:rsidR="00952BB5" w:rsidRPr="00952BB5" w:rsidRDefault="00952BB5">
      <w:pPr>
        <w:rPr>
          <w:lang w:val="de-DE"/>
        </w:rPr>
      </w:pPr>
    </w:p>
    <w:sectPr w:rsidR="00952BB5" w:rsidRPr="0095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3"/>
    <w:rsid w:val="004A2E8E"/>
    <w:rsid w:val="005F7983"/>
    <w:rsid w:val="009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A4B"/>
  <w15:chartTrackingRefBased/>
  <w15:docId w15:val="{5191B53E-C327-48AA-A302-1250B7A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2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952B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952BB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BB5"/>
    <w:rPr>
      <w:rFonts w:ascii="Times New Roman" w:hAnsi="Times New Roman"/>
      <w:color w:val="000000" w:themeColor="text1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952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s-extremus.org/wp-content/uploads/2017/11/OE-54-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ora.uzh.ch/id/eprint/131808/1/asia-2015-005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als.vu.lt/problemos/article/view/10353/8261" TargetMode="External"/><Relationship Id="rId11" Type="http://schemas.openxmlformats.org/officeDocument/2006/relationships/hyperlink" Target="https://books.openedition.org/cdf/7576" TargetMode="External"/><Relationship Id="rId5" Type="http://schemas.openxmlformats.org/officeDocument/2006/relationships/hyperlink" Target="https://www.perspectivia.net/receive/pnet_mods_00001118" TargetMode="External"/><Relationship Id="rId10" Type="http://schemas.openxmlformats.org/officeDocument/2006/relationships/hyperlink" Target="https://journals.openedition.org/noesis/1867" TargetMode="External"/><Relationship Id="rId4" Type="http://schemas.openxmlformats.org/officeDocument/2006/relationships/hyperlink" Target="http://www.perspectivia.net" TargetMode="External"/><Relationship Id="rId9" Type="http://schemas.openxmlformats.org/officeDocument/2006/relationships/hyperlink" Target="http://www.iep.utm.edu/zhang-j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Ciaudo</dc:creator>
  <cp:keywords/>
  <dc:description/>
  <cp:lastModifiedBy>Joseph Ciaudo</cp:lastModifiedBy>
  <cp:revision>3</cp:revision>
  <dcterms:created xsi:type="dcterms:W3CDTF">2020-09-11T08:20:00Z</dcterms:created>
  <dcterms:modified xsi:type="dcterms:W3CDTF">2020-09-11T08:21:00Z</dcterms:modified>
</cp:coreProperties>
</file>